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EC6F">
      <w:pPr>
        <w:pStyle w:val="4"/>
        <w:keepNext w:val="0"/>
        <w:keepLines w:val="0"/>
        <w:pageBreakBefore w:val="0"/>
        <w:widowControl/>
        <w:kinsoku/>
        <w:wordWrap/>
        <w:overflowPunct/>
        <w:topLinePunct w:val="0"/>
        <w:autoSpaceDE w:val="0"/>
        <w:autoSpaceDN w:val="0"/>
        <w:bidi w:val="0"/>
        <w:adjustRightInd w:val="0"/>
        <w:snapToGrid w:val="0"/>
        <w:spacing w:line="267" w:lineRule="auto"/>
        <w:jc w:val="both"/>
        <w:textAlignment w:val="baseline"/>
        <w:rPr>
          <w:rFonts w:hint="eastAsia" w:eastAsia="宋体"/>
          <w:lang w:eastAsia="zh-CN"/>
        </w:rPr>
      </w:pPr>
    </w:p>
    <w:p w14:paraId="1BBB2618">
      <w:pPr>
        <w:pStyle w:val="4"/>
        <w:keepNext w:val="0"/>
        <w:keepLines w:val="0"/>
        <w:pageBreakBefore w:val="0"/>
        <w:widowControl/>
        <w:kinsoku/>
        <w:wordWrap/>
        <w:overflowPunct/>
        <w:topLinePunct w:val="0"/>
        <w:autoSpaceDE w:val="0"/>
        <w:autoSpaceDN w:val="0"/>
        <w:bidi w:val="0"/>
        <w:adjustRightInd w:val="0"/>
        <w:snapToGrid w:val="0"/>
        <w:spacing w:line="268" w:lineRule="auto"/>
        <w:jc w:val="both"/>
        <w:textAlignment w:val="baseline"/>
      </w:pPr>
    </w:p>
    <w:p w14:paraId="381C6170">
      <w:pPr>
        <w:pStyle w:val="4"/>
        <w:keepNext w:val="0"/>
        <w:keepLines w:val="0"/>
        <w:pageBreakBefore w:val="0"/>
        <w:widowControl/>
        <w:kinsoku/>
        <w:wordWrap/>
        <w:overflowPunct/>
        <w:topLinePunct w:val="0"/>
        <w:autoSpaceDE w:val="0"/>
        <w:autoSpaceDN w:val="0"/>
        <w:bidi w:val="0"/>
        <w:adjustRightInd w:val="0"/>
        <w:snapToGrid w:val="0"/>
        <w:spacing w:line="268" w:lineRule="auto"/>
        <w:jc w:val="both"/>
        <w:textAlignment w:val="baseline"/>
      </w:pPr>
    </w:p>
    <w:p w14:paraId="2E9723CC">
      <w:pPr>
        <w:pStyle w:val="4"/>
        <w:keepNext w:val="0"/>
        <w:keepLines w:val="0"/>
        <w:pageBreakBefore w:val="0"/>
        <w:widowControl/>
        <w:kinsoku/>
        <w:wordWrap/>
        <w:overflowPunct/>
        <w:topLinePunct w:val="0"/>
        <w:autoSpaceDE w:val="0"/>
        <w:autoSpaceDN w:val="0"/>
        <w:bidi w:val="0"/>
        <w:adjustRightInd w:val="0"/>
        <w:snapToGrid w:val="0"/>
        <w:spacing w:line="268" w:lineRule="auto"/>
        <w:jc w:val="both"/>
        <w:textAlignment w:val="baseline"/>
      </w:pPr>
    </w:p>
    <w:p w14:paraId="5B0A1473">
      <w:pPr>
        <w:pStyle w:val="4"/>
        <w:keepNext w:val="0"/>
        <w:keepLines w:val="0"/>
        <w:pageBreakBefore w:val="0"/>
        <w:widowControl/>
        <w:kinsoku/>
        <w:wordWrap/>
        <w:overflowPunct/>
        <w:topLinePunct w:val="0"/>
        <w:autoSpaceDE w:val="0"/>
        <w:autoSpaceDN w:val="0"/>
        <w:bidi w:val="0"/>
        <w:adjustRightInd w:val="0"/>
        <w:snapToGrid w:val="0"/>
        <w:spacing w:line="268" w:lineRule="auto"/>
        <w:jc w:val="both"/>
        <w:textAlignment w:val="baseline"/>
      </w:pPr>
    </w:p>
    <w:p w14:paraId="363CBE59">
      <w:pPr>
        <w:pStyle w:val="4"/>
        <w:keepNext w:val="0"/>
        <w:keepLines w:val="0"/>
        <w:pageBreakBefore w:val="0"/>
        <w:widowControl/>
        <w:kinsoku/>
        <w:wordWrap/>
        <w:overflowPunct/>
        <w:topLinePunct w:val="0"/>
        <w:autoSpaceDE w:val="0"/>
        <w:autoSpaceDN w:val="0"/>
        <w:bidi w:val="0"/>
        <w:adjustRightInd w:val="0"/>
        <w:snapToGrid w:val="0"/>
        <w:spacing w:line="268" w:lineRule="auto"/>
        <w:jc w:val="both"/>
        <w:textAlignment w:val="baseline"/>
      </w:pPr>
    </w:p>
    <w:p w14:paraId="153B8A6C">
      <w:pPr>
        <w:keepNext w:val="0"/>
        <w:keepLines w:val="0"/>
        <w:pageBreakBefore w:val="0"/>
        <w:widowControl/>
        <w:kinsoku/>
        <w:wordWrap/>
        <w:overflowPunct/>
        <w:topLinePunct w:val="0"/>
        <w:autoSpaceDE w:val="0"/>
        <w:autoSpaceDN w:val="0"/>
        <w:bidi w:val="0"/>
        <w:adjustRightInd w:val="0"/>
        <w:snapToGrid w:val="0"/>
        <w:spacing w:before="169" w:line="220" w:lineRule="auto"/>
        <w:jc w:val="center"/>
        <w:textAlignment w:val="baseline"/>
        <w:outlineLvl w:val="9"/>
        <w:rPr>
          <w:rFonts w:ascii="黑体" w:hAnsi="黑体" w:eastAsia="黑体" w:cs="黑体"/>
          <w:sz w:val="52"/>
          <w:szCs w:val="52"/>
        </w:rPr>
      </w:pPr>
      <w:r>
        <w:rPr>
          <w:rFonts w:hint="eastAsia" w:ascii="黑体" w:hAnsi="黑体" w:eastAsia="黑体" w:cs="黑体"/>
          <w:spacing w:val="-2"/>
          <w:sz w:val="52"/>
          <w:szCs w:val="52"/>
          <w:lang w:val="en-US" w:eastAsia="zh-CN"/>
          <w14:textOutline w14:w="9461" w14:cap="sq" w14:cmpd="sng">
            <w14:solidFill>
              <w14:srgbClr w14:val="000000"/>
            </w14:solidFill>
            <w14:prstDash w14:val="solid"/>
            <w14:bevel/>
          </w14:textOutline>
        </w:rPr>
        <w:t>常州常欣起重物联科技有限公司</w:t>
      </w:r>
    </w:p>
    <w:p w14:paraId="13C7C7FC">
      <w:pPr>
        <w:keepNext w:val="0"/>
        <w:keepLines w:val="0"/>
        <w:pageBreakBefore w:val="0"/>
        <w:widowControl/>
        <w:kinsoku/>
        <w:wordWrap/>
        <w:overflowPunct/>
        <w:topLinePunct w:val="0"/>
        <w:autoSpaceDE w:val="0"/>
        <w:autoSpaceDN w:val="0"/>
        <w:bidi w:val="0"/>
        <w:adjustRightInd w:val="0"/>
        <w:snapToGrid w:val="0"/>
        <w:spacing w:before="169" w:line="220" w:lineRule="auto"/>
        <w:jc w:val="center"/>
        <w:textAlignment w:val="baseline"/>
        <w:outlineLvl w:val="9"/>
        <w:rPr>
          <w:rFonts w:hint="eastAsia" w:ascii="黑体" w:hAnsi="黑体" w:eastAsia="黑体" w:cs="黑体"/>
          <w:spacing w:val="-2"/>
          <w:sz w:val="52"/>
          <w:szCs w:val="52"/>
          <w:lang w:val="en-US" w:eastAsia="zh-CN"/>
          <w14:textOutline w14:w="9461" w14:cap="sq" w14:cmpd="sng">
            <w14:solidFill>
              <w14:srgbClr w14:val="000000"/>
            </w14:solidFill>
            <w14:prstDash w14:val="solid"/>
            <w14:bevel/>
          </w14:textOutline>
        </w:rPr>
      </w:pPr>
      <w:r>
        <w:rPr>
          <w:rFonts w:hint="eastAsia" w:ascii="黑体" w:hAnsi="黑体" w:eastAsia="黑体" w:cs="黑体"/>
          <w:spacing w:val="-2"/>
          <w:sz w:val="52"/>
          <w:szCs w:val="52"/>
          <w:lang w:val="en-US" w:eastAsia="zh-CN"/>
          <w14:textOutline w14:w="9461" w14:cap="sq" w14:cmpd="sng">
            <w14:solidFill>
              <w14:srgbClr w14:val="000000"/>
            </w14:solidFill>
            <w14:prstDash w14:val="solid"/>
            <w14:bevel/>
          </w14:textOutline>
        </w:rPr>
        <w:t>社会责任报告</w:t>
      </w:r>
    </w:p>
    <w:p w14:paraId="787AEF5B">
      <w:pPr>
        <w:keepNext w:val="0"/>
        <w:keepLines w:val="0"/>
        <w:pageBreakBefore w:val="0"/>
        <w:widowControl/>
        <w:kinsoku/>
        <w:wordWrap/>
        <w:overflowPunct/>
        <w:topLinePunct w:val="0"/>
        <w:autoSpaceDE w:val="0"/>
        <w:autoSpaceDN w:val="0"/>
        <w:bidi w:val="0"/>
        <w:adjustRightInd w:val="0"/>
        <w:snapToGrid w:val="0"/>
        <w:spacing w:before="186" w:line="222" w:lineRule="auto"/>
        <w:ind w:left="2873"/>
        <w:jc w:val="both"/>
        <w:textAlignment w:val="baseline"/>
        <w:rPr>
          <w:rFonts w:ascii="黑体" w:hAnsi="黑体" w:eastAsia="黑体" w:cs="黑体"/>
          <w:spacing w:val="-8"/>
          <w:sz w:val="52"/>
          <w:szCs w:val="52"/>
          <w14:textOutline w14:w="9461" w14:cap="sq" w14:cmpd="sng">
            <w14:solidFill>
              <w14:srgbClr w14:val="000000"/>
            </w14:solidFill>
            <w14:prstDash w14:val="solid"/>
            <w14:bevel/>
          </w14:textOutline>
        </w:rPr>
      </w:pPr>
      <w:r>
        <w:rPr>
          <w:rFonts w:ascii="黑体" w:hAnsi="黑体" w:eastAsia="黑体" w:cs="黑体"/>
          <w:spacing w:val="-8"/>
          <w:sz w:val="52"/>
          <w:szCs w:val="52"/>
          <w14:textOutline w14:w="9461" w14:cap="sq" w14:cmpd="sng">
            <w14:solidFill>
              <w14:srgbClr w14:val="000000"/>
            </w14:solidFill>
            <w14:prstDash w14:val="solid"/>
            <w14:bevel/>
          </w14:textOutline>
        </w:rPr>
        <w:t>（202</w:t>
      </w:r>
      <w:r>
        <w:rPr>
          <w:rFonts w:hint="eastAsia" w:ascii="黑体" w:hAnsi="黑体" w:eastAsia="黑体" w:cs="黑体"/>
          <w:spacing w:val="-8"/>
          <w:sz w:val="52"/>
          <w:szCs w:val="52"/>
          <w:lang w:val="en-US" w:eastAsia="zh-CN"/>
          <w14:textOutline w14:w="9461" w14:cap="sq" w14:cmpd="sng">
            <w14:solidFill>
              <w14:srgbClr w14:val="000000"/>
            </w14:solidFill>
            <w14:prstDash w14:val="solid"/>
            <w14:bevel/>
          </w14:textOutline>
        </w:rPr>
        <w:t>4</w:t>
      </w:r>
      <w:r>
        <w:rPr>
          <w:rFonts w:ascii="黑体" w:hAnsi="黑体" w:eastAsia="黑体" w:cs="黑体"/>
          <w:spacing w:val="-8"/>
          <w:sz w:val="52"/>
          <w:szCs w:val="52"/>
          <w14:textOutline w14:w="9461" w14:cap="sq" w14:cmpd="sng">
            <w14:solidFill>
              <w14:srgbClr w14:val="000000"/>
            </w14:solidFill>
            <w14:prstDash w14:val="solid"/>
            <w14:bevel/>
          </w14:textOutline>
        </w:rPr>
        <w:t>年度）</w:t>
      </w:r>
    </w:p>
    <w:p w14:paraId="1FC94CF7">
      <w:pPr>
        <w:pStyle w:val="4"/>
      </w:pPr>
    </w:p>
    <w:p w14:paraId="62144CD2">
      <w:pPr>
        <w:pStyle w:val="4"/>
        <w:keepNext w:val="0"/>
        <w:keepLines w:val="0"/>
        <w:pageBreakBefore w:val="0"/>
        <w:widowControl/>
        <w:kinsoku/>
        <w:wordWrap/>
        <w:overflowPunct/>
        <w:topLinePunct w:val="0"/>
        <w:autoSpaceDE w:val="0"/>
        <w:autoSpaceDN w:val="0"/>
        <w:bidi w:val="0"/>
        <w:adjustRightInd w:val="0"/>
        <w:snapToGrid w:val="0"/>
        <w:jc w:val="both"/>
        <w:textAlignment w:val="baseline"/>
      </w:pPr>
    </w:p>
    <w:p w14:paraId="75BAE890">
      <w:pPr>
        <w:pStyle w:val="4"/>
        <w:keepNext w:val="0"/>
        <w:keepLines w:val="0"/>
        <w:pageBreakBefore w:val="0"/>
        <w:widowControl/>
        <w:kinsoku/>
        <w:wordWrap/>
        <w:overflowPunct/>
        <w:topLinePunct w:val="0"/>
        <w:autoSpaceDE w:val="0"/>
        <w:autoSpaceDN w:val="0"/>
        <w:bidi w:val="0"/>
        <w:adjustRightInd w:val="0"/>
        <w:snapToGrid w:val="0"/>
        <w:jc w:val="both"/>
        <w:textAlignment w:val="baseline"/>
      </w:pPr>
    </w:p>
    <w:p w14:paraId="7BA1E5BF">
      <w:pPr>
        <w:pStyle w:val="4"/>
        <w:keepNext w:val="0"/>
        <w:keepLines w:val="0"/>
        <w:pageBreakBefore w:val="0"/>
        <w:widowControl/>
        <w:kinsoku/>
        <w:wordWrap/>
        <w:overflowPunct/>
        <w:topLinePunct w:val="0"/>
        <w:autoSpaceDE w:val="0"/>
        <w:autoSpaceDN w:val="0"/>
        <w:bidi w:val="0"/>
        <w:adjustRightInd w:val="0"/>
        <w:snapToGrid w:val="0"/>
        <w:jc w:val="both"/>
        <w:textAlignment w:val="baseline"/>
      </w:pPr>
    </w:p>
    <w:p w14:paraId="3136E3F2">
      <w:pPr>
        <w:pStyle w:val="4"/>
        <w:keepNext w:val="0"/>
        <w:keepLines w:val="0"/>
        <w:pageBreakBefore w:val="0"/>
        <w:widowControl/>
        <w:kinsoku/>
        <w:wordWrap/>
        <w:overflowPunct/>
        <w:topLinePunct w:val="0"/>
        <w:autoSpaceDE w:val="0"/>
        <w:autoSpaceDN w:val="0"/>
        <w:bidi w:val="0"/>
        <w:adjustRightInd w:val="0"/>
        <w:snapToGrid w:val="0"/>
        <w:jc w:val="both"/>
        <w:textAlignment w:val="baseline"/>
        <w:rPr>
          <w:sz w:val="28"/>
          <w:szCs w:val="28"/>
          <w:highlight w:val="red"/>
        </w:rPr>
      </w:pPr>
    </w:p>
    <w:p w14:paraId="67F73AE8">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1135000B">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1A111A6A">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34DF8252">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412C7D2D">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0D2A389E">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7CB24B18">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47BB277A">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0065590C">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334A14EC">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7BCDAB88">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3E2582D2">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69FCC296">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19518F98">
      <w:pPr>
        <w:pStyle w:val="5"/>
        <w:outlineLvl w:val="9"/>
      </w:pPr>
    </w:p>
    <w:p w14:paraId="66C25FAC"/>
    <w:p w14:paraId="6B1CB7F8"/>
    <w:p w14:paraId="78ABC291"/>
    <w:p w14:paraId="1B152A1B"/>
    <w:p w14:paraId="406F0F2C"/>
    <w:p w14:paraId="76076889"/>
    <w:p w14:paraId="656DBA24"/>
    <w:p w14:paraId="3260D91E">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37945247">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2E8AD1F4">
      <w:pPr>
        <w:pStyle w:val="4"/>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28C3C6F4">
      <w:pPr>
        <w:keepNext w:val="0"/>
        <w:keepLines w:val="0"/>
        <w:pageBreakBefore w:val="0"/>
        <w:widowControl/>
        <w:kinsoku/>
        <w:wordWrap/>
        <w:overflowPunct/>
        <w:topLinePunct w:val="0"/>
        <w:autoSpaceDE w:val="0"/>
        <w:autoSpaceDN w:val="0"/>
        <w:bidi w:val="0"/>
        <w:adjustRightInd w:val="0"/>
        <w:snapToGrid w:val="0"/>
        <w:spacing w:before="101" w:line="225" w:lineRule="auto"/>
        <w:ind w:left="3216"/>
        <w:jc w:val="both"/>
        <w:textAlignment w:val="baseline"/>
        <w:rPr>
          <w:rFonts w:ascii="宋体" w:hAnsi="宋体" w:eastAsia="宋体" w:cs="宋体"/>
          <w:sz w:val="31"/>
          <w:szCs w:val="31"/>
        </w:rPr>
      </w:pPr>
      <w:r>
        <w:rPr>
          <w:rFonts w:ascii="Times New Roman" w:hAnsi="Times New Roman" w:eastAsia="Times New Roman" w:cs="Times New Roman"/>
          <w:b/>
          <w:bCs/>
          <w:spacing w:val="-1"/>
          <w:sz w:val="31"/>
          <w:szCs w:val="31"/>
        </w:rPr>
        <w:t>202</w:t>
      </w:r>
      <w:r>
        <w:rPr>
          <w:rFonts w:hint="eastAsia" w:ascii="Times New Roman" w:hAnsi="Times New Roman" w:eastAsia="宋体" w:cs="Times New Roman"/>
          <w:b/>
          <w:bCs/>
          <w:spacing w:val="-1"/>
          <w:sz w:val="31"/>
          <w:szCs w:val="31"/>
          <w:lang w:val="en-US" w:eastAsia="zh-CN"/>
        </w:rPr>
        <w:t>5</w:t>
      </w:r>
      <w:r>
        <w:rPr>
          <w:rFonts w:ascii="宋体" w:hAnsi="宋体" w:eastAsia="宋体" w:cs="宋体"/>
          <w:spacing w:val="-1"/>
          <w:sz w:val="31"/>
          <w:szCs w:val="31"/>
          <w14:textOutline w14:w="5791" w14:cap="sq" w14:cmpd="sng">
            <w14:solidFill>
              <w14:srgbClr w14:val="000000"/>
            </w14:solidFill>
            <w14:prstDash w14:val="solid"/>
            <w14:bevel/>
          </w14:textOutline>
        </w:rPr>
        <w:t>年</w:t>
      </w:r>
      <w:r>
        <w:rPr>
          <w:rFonts w:hint="eastAsia" w:ascii="Times New Roman" w:hAnsi="Times New Roman" w:eastAsia="宋体" w:cs="Times New Roman"/>
          <w:b/>
          <w:bCs/>
          <w:spacing w:val="-1"/>
          <w:sz w:val="31"/>
          <w:szCs w:val="31"/>
          <w:lang w:val="en-US" w:eastAsia="zh-CN"/>
        </w:rPr>
        <w:t>3</w:t>
      </w:r>
      <w:r>
        <w:rPr>
          <w:rFonts w:ascii="宋体" w:hAnsi="宋体" w:eastAsia="宋体" w:cs="宋体"/>
          <w:spacing w:val="-1"/>
          <w:sz w:val="31"/>
          <w:szCs w:val="31"/>
          <w14:textOutline w14:w="5791" w14:cap="sq" w14:cmpd="sng">
            <w14:solidFill>
              <w14:srgbClr w14:val="000000"/>
            </w14:solidFill>
            <w14:prstDash w14:val="solid"/>
            <w14:bevel/>
          </w14:textOutline>
        </w:rPr>
        <w:t>月</w:t>
      </w:r>
      <w:r>
        <w:rPr>
          <w:rFonts w:ascii="Times New Roman" w:hAnsi="Times New Roman" w:eastAsia="Times New Roman" w:cs="Times New Roman"/>
          <w:b/>
          <w:bCs/>
          <w:spacing w:val="-1"/>
          <w:sz w:val="31"/>
          <w:szCs w:val="31"/>
        </w:rPr>
        <w:t>15</w:t>
      </w:r>
      <w:r>
        <w:rPr>
          <w:rFonts w:ascii="宋体" w:hAnsi="宋体" w:eastAsia="宋体" w:cs="宋体"/>
          <w:spacing w:val="-1"/>
          <w:sz w:val="31"/>
          <w:szCs w:val="31"/>
          <w14:textOutline w14:w="5791" w14:cap="sq" w14:cmpd="sng">
            <w14:solidFill>
              <w14:srgbClr w14:val="000000"/>
            </w14:solidFill>
            <w14:prstDash w14:val="solid"/>
            <w14:bevel/>
          </w14:textOutline>
        </w:rPr>
        <w:t>日</w:t>
      </w:r>
    </w:p>
    <w:p w14:paraId="0885677B">
      <w:pPr>
        <w:keepNext w:val="0"/>
        <w:keepLines w:val="0"/>
        <w:pageBreakBefore w:val="0"/>
        <w:widowControl/>
        <w:kinsoku/>
        <w:wordWrap/>
        <w:overflowPunct/>
        <w:topLinePunct w:val="0"/>
        <w:autoSpaceDE w:val="0"/>
        <w:autoSpaceDN w:val="0"/>
        <w:bidi w:val="0"/>
        <w:adjustRightInd w:val="0"/>
        <w:snapToGrid w:val="0"/>
        <w:spacing w:line="225" w:lineRule="auto"/>
        <w:jc w:val="both"/>
        <w:textAlignment w:val="baseline"/>
        <w:rPr>
          <w:rFonts w:ascii="宋体" w:hAnsi="宋体" w:eastAsia="宋体" w:cs="宋体"/>
          <w:sz w:val="31"/>
          <w:szCs w:val="31"/>
        </w:rPr>
        <w:sectPr>
          <w:pgSz w:w="11906" w:h="16839"/>
          <w:pgMar w:top="1346" w:right="1785" w:bottom="0" w:left="1501" w:header="0" w:footer="0" w:gutter="0"/>
          <w:cols w:space="720" w:num="1"/>
        </w:sectPr>
      </w:pPr>
    </w:p>
    <w:p w14:paraId="78BDE31C">
      <w:pPr>
        <w:keepNext w:val="0"/>
        <w:keepLines w:val="0"/>
        <w:pageBreakBefore w:val="0"/>
        <w:widowControl/>
        <w:kinsoku/>
        <w:wordWrap/>
        <w:overflowPunct/>
        <w:topLinePunct w:val="0"/>
        <w:autoSpaceDE w:val="0"/>
        <w:autoSpaceDN w:val="0"/>
        <w:bidi w:val="0"/>
        <w:adjustRightInd w:val="0"/>
        <w:snapToGrid w:val="0"/>
        <w:spacing w:before="163" w:line="226" w:lineRule="auto"/>
        <w:ind w:left="23"/>
        <w:jc w:val="both"/>
        <w:textAlignment w:val="baseline"/>
        <w:outlineLvl w:val="9"/>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报告概述</w:t>
      </w:r>
    </w:p>
    <w:p w14:paraId="51B5925C">
      <w:pPr>
        <w:pStyle w:val="4"/>
        <w:keepNext w:val="0"/>
        <w:keepLines w:val="0"/>
        <w:pageBreakBefore w:val="0"/>
        <w:widowControl/>
        <w:kinsoku/>
        <w:wordWrap/>
        <w:overflowPunct/>
        <w:topLinePunct w:val="0"/>
        <w:autoSpaceDE w:val="0"/>
        <w:autoSpaceDN w:val="0"/>
        <w:bidi w:val="0"/>
        <w:adjustRightInd w:val="0"/>
        <w:snapToGrid w:val="0"/>
        <w:spacing w:line="304" w:lineRule="auto"/>
        <w:jc w:val="both"/>
        <w:textAlignment w:val="baseline"/>
        <w:rPr>
          <w:rFonts w:hint="eastAsia" w:ascii="宋体" w:hAnsi="宋体" w:eastAsia="宋体" w:cs="宋体"/>
          <w:snapToGrid w:val="0"/>
          <w:color w:val="000000"/>
          <w:spacing w:val="-3"/>
          <w:kern w:val="0"/>
          <w:sz w:val="24"/>
          <w:szCs w:val="24"/>
          <w:lang w:val="en-US" w:eastAsia="zh-CN" w:bidi="ar-SA"/>
        </w:rPr>
      </w:pPr>
    </w:p>
    <w:p w14:paraId="709ADABA">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eastAsia" w:ascii="宋体" w:hAnsi="宋体" w:eastAsia="宋体" w:cs="宋体"/>
          <w:spacing w:val="-3"/>
          <w:sz w:val="24"/>
          <w:szCs w:val="24"/>
          <w:lang w:val="en-US" w:eastAsia="zh-CN"/>
        </w:rPr>
      </w:pPr>
      <w:r>
        <w:rPr>
          <w:rFonts w:hint="eastAsia" w:ascii="宋体" w:hAnsi="宋体" w:eastAsia="宋体" w:cs="宋体"/>
          <w:snapToGrid w:val="0"/>
          <w:color w:val="000000"/>
          <w:spacing w:val="-3"/>
          <w:kern w:val="0"/>
          <w:sz w:val="24"/>
          <w:szCs w:val="24"/>
          <w:lang w:val="en-US" w:eastAsia="zh-CN" w:bidi="ar-SA"/>
        </w:rPr>
        <w:t>此报告为</w:t>
      </w:r>
      <w:r>
        <w:rPr>
          <w:rFonts w:hint="eastAsia" w:ascii="宋体" w:hAnsi="宋体" w:eastAsia="宋体" w:cs="宋体"/>
          <w:spacing w:val="-3"/>
          <w:sz w:val="24"/>
          <w:szCs w:val="24"/>
          <w:lang w:val="en-US" w:eastAsia="zh-CN"/>
        </w:rPr>
        <w:t>常州常欣起重物联科技有限公司第一份对外公开发布的《社会责任报告》。本报告参照GRI（全球报告倡议组织）《可持续发展报告指南》（G3版）、中国社科院《中国企业社会责任报告编写指南》，并结合常州常欣起重物联科技有限公司对社会责任的独特理解和常州常欣起重物联科技有限公司的具体实践编写而成。</w:t>
      </w:r>
    </w:p>
    <w:p w14:paraId="24F61DC4">
      <w:pPr>
        <w:pStyle w:val="4"/>
        <w:keepNext w:val="0"/>
        <w:keepLines w:val="0"/>
        <w:pageBreakBefore w:val="0"/>
        <w:widowControl/>
        <w:kinsoku/>
        <w:wordWrap/>
        <w:overflowPunct/>
        <w:topLinePunct w:val="0"/>
        <w:autoSpaceDE w:val="0"/>
        <w:autoSpaceDN w:val="0"/>
        <w:bidi w:val="0"/>
        <w:adjustRightInd w:val="0"/>
        <w:snapToGrid w:val="0"/>
        <w:spacing w:line="319" w:lineRule="auto"/>
        <w:jc w:val="both"/>
        <w:textAlignment w:val="baseline"/>
      </w:pPr>
    </w:p>
    <w:p w14:paraId="68A2CE52">
      <w:pPr>
        <w:keepNext w:val="0"/>
        <w:keepLines w:val="0"/>
        <w:pageBreakBefore w:val="0"/>
        <w:widowControl/>
        <w:kinsoku/>
        <w:wordWrap/>
        <w:overflowPunct/>
        <w:topLinePunct w:val="0"/>
        <w:autoSpaceDE w:val="0"/>
        <w:autoSpaceDN w:val="0"/>
        <w:bidi w:val="0"/>
        <w:adjustRightInd w:val="0"/>
        <w:snapToGrid w:val="0"/>
        <w:spacing w:before="163" w:line="226" w:lineRule="auto"/>
        <w:ind w:left="23"/>
        <w:jc w:val="both"/>
        <w:textAlignment w:val="baseline"/>
        <w:outlineLvl w:val="9"/>
        <w:rPr>
          <w:rFonts w:ascii="黑体" w:hAnsi="黑体" w:eastAsia="黑体" w:cs="黑体"/>
          <w:spacing w:val="8"/>
          <w:sz w:val="31"/>
          <w:szCs w:val="31"/>
          <w14:textOutline w14:w="5793" w14:cap="sq" w14:cmpd="sng">
            <w14:solidFill>
              <w14:srgbClr w14:val="000000"/>
            </w14:solidFill>
            <w14:prstDash w14:val="solid"/>
            <w14:bevel/>
          </w14:textOutline>
        </w:rPr>
      </w:pPr>
      <w:r>
        <w:rPr>
          <w:rFonts w:ascii="黑体" w:hAnsi="黑体" w:eastAsia="黑体" w:cs="黑体"/>
          <w:spacing w:val="8"/>
          <w:sz w:val="31"/>
          <w:szCs w:val="31"/>
          <w14:textOutline w14:w="5793" w14:cap="sq" w14:cmpd="sng">
            <w14:solidFill>
              <w14:srgbClr w14:val="000000"/>
            </w14:solidFill>
            <w14:prstDash w14:val="solid"/>
            <w14:bevel/>
          </w14:textOutline>
        </w:rPr>
        <w:t>报告范围</w:t>
      </w:r>
    </w:p>
    <w:p w14:paraId="22598869">
      <w:pPr>
        <w:keepNext w:val="0"/>
        <w:keepLines w:val="0"/>
        <w:pageBreakBefore w:val="0"/>
        <w:widowControl/>
        <w:kinsoku/>
        <w:wordWrap/>
        <w:overflowPunct/>
        <w:topLinePunct w:val="0"/>
        <w:autoSpaceDE w:val="0"/>
        <w:autoSpaceDN w:val="0"/>
        <w:bidi w:val="0"/>
        <w:adjustRightInd w:val="0"/>
        <w:snapToGrid w:val="0"/>
        <w:spacing w:before="163" w:line="226" w:lineRule="auto"/>
        <w:ind w:left="23"/>
        <w:jc w:val="both"/>
        <w:textAlignment w:val="baseline"/>
        <w:outlineLvl w:val="9"/>
        <w:rPr>
          <w:rFonts w:ascii="黑体" w:hAnsi="黑体" w:eastAsia="黑体" w:cs="黑体"/>
          <w:spacing w:val="8"/>
          <w:sz w:val="31"/>
          <w:szCs w:val="31"/>
          <w14:textOutline w14:w="5793" w14:cap="sq" w14:cmpd="sng">
            <w14:solidFill>
              <w14:srgbClr w14:val="000000"/>
            </w14:solidFill>
            <w14:prstDash w14:val="solid"/>
            <w14:bevel/>
          </w14:textOutline>
        </w:rPr>
      </w:pPr>
    </w:p>
    <w:p w14:paraId="634C0D80">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除非有特殊说明，本报告主要描述2024年1月1日至2024年12月31日期间，常州常欣起重物联科技有限公司在公司运营、内控管理、发展规划、供应链、人才建设等方面的工作，报告内容涵盖了公司起重限制器制造在营业务。</w:t>
      </w:r>
    </w:p>
    <w:p w14:paraId="303CCF0B">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eastAsia" w:ascii="宋体" w:hAnsi="宋体" w:eastAsia="宋体" w:cs="宋体"/>
          <w:spacing w:val="-3"/>
          <w:sz w:val="24"/>
          <w:szCs w:val="24"/>
          <w:lang w:val="en-US" w:eastAsia="zh-CN"/>
        </w:rPr>
      </w:pPr>
    </w:p>
    <w:p w14:paraId="2B8D9976">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ascii="宋体" w:hAnsi="宋体" w:eastAsia="宋体" w:cs="宋体"/>
          <w:spacing w:val="-2"/>
          <w:sz w:val="24"/>
          <w:szCs w:val="24"/>
        </w:rPr>
      </w:pPr>
      <w:r>
        <w:rPr>
          <w:rFonts w:hint="eastAsia" w:ascii="宋体" w:hAnsi="宋体" w:eastAsia="宋体" w:cs="宋体"/>
          <w:spacing w:val="-3"/>
          <w:sz w:val="24"/>
          <w:szCs w:val="24"/>
          <w:lang w:val="en-US" w:eastAsia="zh-CN"/>
        </w:rPr>
        <w:t>常州常欣起重物联科技有限公司</w:t>
      </w:r>
    </w:p>
    <w:p w14:paraId="4E5FD8B7">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江苏省常州市新北区薛家镇汉江路666号</w:t>
      </w:r>
    </w:p>
    <w:p w14:paraId="07EF64FE">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联系人/联系方式：黄云/15851955287</w:t>
      </w:r>
    </w:p>
    <w:p w14:paraId="03B31C47">
      <w:pPr>
        <w:keepNext w:val="0"/>
        <w:keepLines w:val="0"/>
        <w:pageBreakBefore w:val="0"/>
        <w:widowControl/>
        <w:kinsoku/>
        <w:wordWrap/>
        <w:overflowPunct/>
        <w:topLinePunct w:val="0"/>
        <w:autoSpaceDE w:val="0"/>
        <w:autoSpaceDN w:val="0"/>
        <w:bidi w:val="0"/>
        <w:adjustRightInd w:val="0"/>
        <w:snapToGrid w:val="0"/>
        <w:spacing w:line="360" w:lineRule="auto"/>
        <w:ind w:left="0" w:firstLine="468" w:firstLineChars="200"/>
        <w:jc w:val="both"/>
        <w:textAlignment w:val="baseline"/>
        <w:outlineLvl w:val="9"/>
        <w:rPr>
          <w:rFonts w:hint="eastAsia" w:ascii="宋体" w:hAnsi="宋体" w:eastAsia="宋体" w:cs="宋体"/>
          <w:spacing w:val="-3"/>
          <w:sz w:val="24"/>
          <w:szCs w:val="24"/>
          <w:lang w:val="en-US" w:eastAsia="zh-CN"/>
        </w:rPr>
        <w:sectPr>
          <w:pgSz w:w="11906" w:h="16839"/>
          <w:pgMar w:top="1431" w:right="1785" w:bottom="0" w:left="1785" w:header="0" w:footer="0" w:gutter="0"/>
          <w:cols w:space="720" w:num="1"/>
        </w:sectPr>
      </w:pPr>
      <w:r>
        <w:rPr>
          <w:rFonts w:hint="eastAsia" w:ascii="宋体" w:hAnsi="宋体" w:eastAsia="宋体" w:cs="宋体"/>
          <w:spacing w:val="-3"/>
          <w:sz w:val="24"/>
          <w:szCs w:val="24"/>
          <w:lang w:val="en-US" w:eastAsia="zh-CN"/>
        </w:rPr>
        <w:br w:type="textWrapping"/>
      </w:r>
    </w:p>
    <w:sdt>
      <w:sdtPr>
        <w:rPr>
          <w:rFonts w:ascii="宋体" w:hAnsi="宋体" w:eastAsia="宋体" w:cs="Arial"/>
          <w:snapToGrid w:val="0"/>
          <w:color w:val="000000"/>
          <w:kern w:val="0"/>
          <w:sz w:val="21"/>
          <w:szCs w:val="21"/>
          <w:lang w:val="en-US" w:eastAsia="en-US" w:bidi="ar-SA"/>
        </w:rPr>
        <w:id w:val="147455479"/>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116F76B3">
          <w:pPr>
            <w:spacing w:before="0" w:beforeLines="0" w:after="0" w:afterLines="0"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目录</w:t>
          </w:r>
        </w:p>
        <w:p w14:paraId="5580EC85">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_Toc5626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一、</w:t>
          </w:r>
          <w:r>
            <w:rPr>
              <w:rFonts w:hint="eastAsia" w:ascii="宋体" w:hAnsi="宋体" w:eastAsia="宋体" w:cs="宋体"/>
              <w:sz w:val="21"/>
              <w:szCs w:val="21"/>
            </w:rPr>
            <w:t>公司简介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_Toc5626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4302DDB">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_Toc21619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二、发展现状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_Toc21619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4906F7">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_Toc20754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三、组织架构图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_Toc20754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52EBBF">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_Toc21317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四、信用建设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_Toc21317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839E29">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_Toc17384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五、环保节约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_Toc17384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B8860DA">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_Toc11770 </w:instrText>
          </w:r>
          <w:r>
            <w:rPr>
              <w:rFonts w:hint="eastAsia" w:ascii="宋体" w:hAnsi="宋体" w:eastAsia="宋体" w:cs="宋体"/>
              <w:sz w:val="21"/>
              <w:szCs w:val="21"/>
            </w:rPr>
            <w:fldChar w:fldCharType="separate"/>
          </w:r>
          <w:r>
            <w:rPr>
              <w:rFonts w:hint="eastAsia" w:ascii="宋体" w:hAnsi="宋体" w:eastAsia="宋体" w:cs="宋体"/>
              <w:sz w:val="21"/>
              <w:szCs w:val="21"/>
            </w:rPr>
            <w:t>1、环境管理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_Toc11770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875A801">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_Toc5828 </w:instrText>
          </w:r>
          <w:r>
            <w:rPr>
              <w:rFonts w:hint="eastAsia" w:ascii="宋体" w:hAnsi="宋体" w:eastAsia="宋体" w:cs="宋体"/>
              <w:sz w:val="21"/>
              <w:szCs w:val="21"/>
            </w:rPr>
            <w:fldChar w:fldCharType="separate"/>
          </w:r>
          <w:r>
            <w:rPr>
              <w:rFonts w:hint="eastAsia" w:ascii="宋体" w:hAnsi="宋体" w:eastAsia="宋体" w:cs="宋体"/>
              <w:sz w:val="21"/>
              <w:szCs w:val="21"/>
            </w:rPr>
            <w:t>2、资源节约与综合利用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_Toc5828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2496486">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_Toc5778 </w:instrText>
          </w:r>
          <w:r>
            <w:rPr>
              <w:rFonts w:hint="eastAsia" w:ascii="宋体" w:hAnsi="宋体" w:eastAsia="宋体" w:cs="宋体"/>
              <w:sz w:val="21"/>
              <w:szCs w:val="21"/>
            </w:rPr>
            <w:fldChar w:fldCharType="separate"/>
          </w:r>
          <w:r>
            <w:rPr>
              <w:rFonts w:hint="eastAsia" w:ascii="宋体" w:hAnsi="宋体" w:eastAsia="宋体" w:cs="宋体"/>
              <w:sz w:val="21"/>
              <w:szCs w:val="21"/>
            </w:rPr>
            <w:t>3、节能减排</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_Toc5778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CE5A4A">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_Toc6939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六、安全生产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_Toc6939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E28F83C">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_Toc10839 </w:instrText>
          </w:r>
          <w:r>
            <w:rPr>
              <w:rFonts w:hint="eastAsia" w:ascii="宋体" w:hAnsi="宋体" w:eastAsia="宋体" w:cs="宋体"/>
              <w:sz w:val="21"/>
              <w:szCs w:val="21"/>
            </w:rPr>
            <w:fldChar w:fldCharType="separate"/>
          </w:r>
          <w:r>
            <w:rPr>
              <w:rFonts w:hint="eastAsia" w:ascii="宋体" w:hAnsi="宋体" w:eastAsia="宋体" w:cs="宋体"/>
              <w:sz w:val="21"/>
              <w:szCs w:val="21"/>
            </w:rPr>
            <w:t>1、安全生产管理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_Toc10839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CAC41A4">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_Toc27657 </w:instrText>
          </w:r>
          <w:r>
            <w:rPr>
              <w:rFonts w:hint="eastAsia" w:ascii="宋体" w:hAnsi="宋体" w:eastAsia="宋体" w:cs="宋体"/>
              <w:sz w:val="21"/>
              <w:szCs w:val="21"/>
            </w:rPr>
            <w:fldChar w:fldCharType="separate"/>
          </w:r>
          <w:r>
            <w:rPr>
              <w:rFonts w:hint="eastAsia" w:ascii="宋体" w:hAnsi="宋体" w:eastAsia="宋体" w:cs="宋体"/>
              <w:sz w:val="21"/>
              <w:szCs w:val="21"/>
            </w:rPr>
            <w:t>2、安全生产投入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_Toc27657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A65B84">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_Toc18163 </w:instrText>
          </w:r>
          <w:r>
            <w:rPr>
              <w:rFonts w:hint="eastAsia" w:ascii="宋体" w:hAnsi="宋体" w:eastAsia="宋体" w:cs="宋体"/>
              <w:sz w:val="21"/>
              <w:szCs w:val="21"/>
            </w:rPr>
            <w:fldChar w:fldCharType="separate"/>
          </w:r>
          <w:r>
            <w:rPr>
              <w:rFonts w:hint="eastAsia" w:ascii="宋体" w:hAnsi="宋体" w:eastAsia="宋体" w:cs="宋体"/>
              <w:sz w:val="21"/>
              <w:szCs w:val="21"/>
            </w:rPr>
            <w:t>3、安全生产教育和培训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_Toc18163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6D17A5">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_Toc19368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七、员工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_Toc19368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B35DF10">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_Toc23774 </w:instrText>
          </w:r>
          <w:r>
            <w:rPr>
              <w:rFonts w:hint="eastAsia" w:ascii="宋体" w:hAnsi="宋体" w:eastAsia="宋体" w:cs="宋体"/>
              <w:sz w:val="21"/>
              <w:szCs w:val="21"/>
            </w:rPr>
            <w:fldChar w:fldCharType="separate"/>
          </w:r>
          <w:r>
            <w:rPr>
              <w:rFonts w:hint="eastAsia" w:ascii="宋体" w:hAnsi="宋体" w:eastAsia="宋体" w:cs="宋体"/>
              <w:sz w:val="21"/>
              <w:szCs w:val="21"/>
            </w:rPr>
            <w:t>1、劳动合同与薪酬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_Toc23774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F86698">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_Toc27697 </w:instrText>
          </w:r>
          <w:r>
            <w:rPr>
              <w:rFonts w:hint="eastAsia" w:ascii="宋体" w:hAnsi="宋体" w:eastAsia="宋体" w:cs="宋体"/>
              <w:sz w:val="21"/>
              <w:szCs w:val="21"/>
            </w:rPr>
            <w:fldChar w:fldCharType="separate"/>
          </w:r>
          <w:r>
            <w:rPr>
              <w:rFonts w:hint="eastAsia" w:ascii="宋体" w:hAnsi="宋体" w:eastAsia="宋体" w:cs="宋体"/>
              <w:sz w:val="21"/>
              <w:szCs w:val="21"/>
            </w:rPr>
            <w:t>2、社会保障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_Toc27697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831E24">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_Toc21128 </w:instrText>
          </w:r>
          <w:r>
            <w:rPr>
              <w:rFonts w:hint="eastAsia" w:ascii="宋体" w:hAnsi="宋体" w:eastAsia="宋体" w:cs="宋体"/>
              <w:sz w:val="21"/>
              <w:szCs w:val="21"/>
            </w:rPr>
            <w:fldChar w:fldCharType="separate"/>
          </w:r>
          <w:r>
            <w:rPr>
              <w:rFonts w:hint="eastAsia" w:ascii="宋体" w:hAnsi="宋体" w:eastAsia="宋体" w:cs="宋体"/>
              <w:sz w:val="21"/>
              <w:szCs w:val="21"/>
            </w:rPr>
            <w:t>3、员工福利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_Toc21128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381EAF2">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_Toc2820 </w:instrText>
          </w:r>
          <w:r>
            <w:rPr>
              <w:rFonts w:hint="eastAsia" w:ascii="宋体" w:hAnsi="宋体" w:eastAsia="宋体" w:cs="宋体"/>
              <w:sz w:val="21"/>
              <w:szCs w:val="21"/>
            </w:rPr>
            <w:fldChar w:fldCharType="separate"/>
          </w:r>
          <w:r>
            <w:rPr>
              <w:rFonts w:hint="eastAsia" w:ascii="宋体" w:hAnsi="宋体" w:eastAsia="宋体" w:cs="宋体"/>
              <w:sz w:val="21"/>
              <w:szCs w:val="21"/>
            </w:rPr>
            <w:t>4、职业健康安全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_Toc2820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C4481F5">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_Toc26042 </w:instrText>
          </w:r>
          <w:r>
            <w:rPr>
              <w:rFonts w:hint="eastAsia" w:ascii="宋体" w:hAnsi="宋体" w:eastAsia="宋体" w:cs="宋体"/>
              <w:sz w:val="21"/>
              <w:szCs w:val="21"/>
            </w:rPr>
            <w:fldChar w:fldCharType="separate"/>
          </w:r>
          <w:r>
            <w:rPr>
              <w:rFonts w:hint="eastAsia" w:ascii="宋体" w:hAnsi="宋体" w:eastAsia="宋体" w:cs="宋体"/>
              <w:sz w:val="21"/>
              <w:szCs w:val="21"/>
            </w:rPr>
            <w:t>5、民主管理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_Toc26042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8EE34DE">
          <w:pPr>
            <w:pStyle w:val="6"/>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_Toc13578 </w:instrText>
          </w:r>
          <w:r>
            <w:rPr>
              <w:rFonts w:hint="eastAsia" w:ascii="宋体" w:hAnsi="宋体" w:eastAsia="宋体" w:cs="宋体"/>
              <w:sz w:val="21"/>
              <w:szCs w:val="21"/>
            </w:rPr>
            <w:fldChar w:fldCharType="separate"/>
          </w:r>
          <w:r>
            <w:rPr>
              <w:rFonts w:hint="eastAsia" w:ascii="宋体" w:hAnsi="宋体" w:eastAsia="宋体" w:cs="宋体"/>
              <w:sz w:val="21"/>
              <w:szCs w:val="21"/>
            </w:rPr>
            <w:t>6、员工培训和发展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_Toc13578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DA8EB30">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_Toc9461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八、社会责任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_Toc9461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8BEB7E6">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_Toc1806 </w:instrText>
          </w:r>
          <w:r>
            <w:rPr>
              <w:rFonts w:hint="eastAsia" w:ascii="宋体" w:hAnsi="宋体" w:eastAsia="宋体" w:cs="宋体"/>
              <w:sz w:val="21"/>
              <w:szCs w:val="21"/>
            </w:rPr>
            <w:fldChar w:fldCharType="separate"/>
          </w:r>
          <w:r>
            <w:rPr>
              <w:rFonts w:hint="eastAsia" w:ascii="宋体" w:hAnsi="宋体" w:eastAsia="宋体" w:cs="宋体"/>
              <w:sz w:val="21"/>
              <w:szCs w:val="21"/>
            </w:rPr>
            <w:t>提要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_Toc1806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EB6AEB">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_Toc10464 </w:instrText>
          </w:r>
          <w:r>
            <w:rPr>
              <w:rFonts w:hint="eastAsia" w:ascii="宋体" w:hAnsi="宋体" w:eastAsia="宋体" w:cs="宋体"/>
              <w:sz w:val="21"/>
              <w:szCs w:val="21"/>
            </w:rPr>
            <w:fldChar w:fldCharType="separate"/>
          </w:r>
          <w:r>
            <w:rPr>
              <w:rFonts w:hint="eastAsia" w:ascii="宋体" w:hAnsi="宋体" w:eastAsia="宋体" w:cs="宋体"/>
              <w:sz w:val="21"/>
              <w:szCs w:val="21"/>
            </w:rPr>
            <w:t>1、公共责任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_Toc10464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F9EFDC0">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_Toc4612 </w:instrText>
          </w:r>
          <w:r>
            <w:rPr>
              <w:rFonts w:hint="eastAsia" w:ascii="宋体" w:hAnsi="宋体" w:eastAsia="宋体" w:cs="宋体"/>
              <w:sz w:val="21"/>
              <w:szCs w:val="21"/>
            </w:rPr>
            <w:fldChar w:fldCharType="separate"/>
          </w:r>
          <w:r>
            <w:rPr>
              <w:rFonts w:hint="eastAsia" w:ascii="宋体" w:hAnsi="宋体" w:eastAsia="宋体" w:cs="宋体"/>
              <w:sz w:val="21"/>
              <w:szCs w:val="21"/>
            </w:rPr>
            <w:t>2、道德行为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_Toc4612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0B31BD">
          <w:pPr>
            <w:pStyle w:val="8"/>
            <w:tabs>
              <w:tab w:val="right" w:leader="dot" w:pos="952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_Toc13822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3、</w:t>
          </w:r>
          <w:r>
            <w:rPr>
              <w:rFonts w:hint="eastAsia" w:ascii="宋体" w:hAnsi="宋体" w:eastAsia="宋体" w:cs="宋体"/>
              <w:sz w:val="21"/>
              <w:szCs w:val="21"/>
            </w:rPr>
            <w:t>自愿开展公益支持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_Toc13822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B3D0136">
          <w:pPr>
            <w:spacing w:line="360" w:lineRule="auto"/>
          </w:pPr>
          <w:r>
            <w:rPr>
              <w:rFonts w:hint="eastAsia" w:ascii="宋体" w:hAnsi="宋体" w:eastAsia="宋体" w:cs="宋体"/>
              <w:sz w:val="21"/>
              <w:szCs w:val="21"/>
            </w:rPr>
            <w:fldChar w:fldCharType="end"/>
          </w:r>
        </w:p>
      </w:sdtContent>
    </w:sdt>
    <w:p w14:paraId="045CD130"/>
    <w:p w14:paraId="3D47A481">
      <w:pPr>
        <w:rPr>
          <w:rFonts w:hint="eastAsia"/>
          <w:lang w:val="en-US" w:eastAsia="zh-CN"/>
        </w:rPr>
      </w:pPr>
      <w:r>
        <w:rPr>
          <w:rFonts w:hint="eastAsia"/>
          <w:lang w:val="en-US" w:eastAsia="zh-CN"/>
        </w:rPr>
        <w:br w:type="page"/>
      </w:r>
    </w:p>
    <w:p w14:paraId="7D2E37AE">
      <w:pPr>
        <w:pStyle w:val="2"/>
        <w:rPr>
          <w:rFonts w:hint="eastAsia"/>
        </w:rPr>
      </w:pPr>
      <w:bookmarkStart w:id="0" w:name="_Toc5626"/>
      <w:bookmarkStart w:id="1" w:name="_Toc12064"/>
      <w:bookmarkStart w:id="2" w:name="_Toc5941"/>
      <w:r>
        <w:rPr>
          <w:rFonts w:hint="eastAsia"/>
          <w:lang w:val="en-US" w:eastAsia="zh-CN"/>
        </w:rPr>
        <w:t>一、</w:t>
      </w:r>
      <w:r>
        <w:rPr>
          <w:rFonts w:hint="eastAsia"/>
        </w:rPr>
        <w:t>公司简介</w:t>
      </w:r>
      <w:bookmarkEnd w:id="0"/>
      <w:bookmarkEnd w:id="1"/>
      <w:bookmarkEnd w:id="2"/>
    </w:p>
    <w:p w14:paraId="4E558FB5">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常州常欣起重物联科技有限公司成立于2018年7月，是一家由常州市常欣电子衡器有限公司全额投资的具有独立法人的高新技术企业。公司坐落在美丽富饶的江苏省常州市国家高新区，目前主要开发、生产、销售和服务各种型号规格的起重量限制器和起重机电子秤等起重机械安全保护装置。</w:t>
      </w:r>
    </w:p>
    <w:p w14:paraId="37A2B09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公司通过质量体系认定，公司注重产品质量管理的同时也切记科学技术是第一生产力的宗旨，目前公司已经拥有3项发明专利，13项实用新型专利和9项软件著作权，并于2022年12月顺利通过知识产权管理体系的认定。公司当前非常重视主营产品的科技创新和品牌建设，2022年11月公司被认定为国家级高新技术企业，公司于2023年4月获得职业健康安全管理体系认证证</w:t>
      </w:r>
      <w:r>
        <w:rPr>
          <w:rFonts w:hint="default" w:ascii="宋体" w:hAnsi="宋体"/>
          <w:sz w:val="24"/>
          <w:lang w:val="en-US" w:eastAsia="zh-CN"/>
        </w:rPr>
        <w:t>书</w:t>
      </w:r>
      <w:r>
        <w:rPr>
          <w:rFonts w:hint="eastAsia" w:ascii="宋体" w:hAnsi="宋体"/>
          <w:sz w:val="24"/>
          <w:lang w:val="en-US" w:eastAsia="zh-CN"/>
        </w:rPr>
        <w:t>和环境管</w:t>
      </w:r>
      <w:r>
        <w:rPr>
          <w:rFonts w:hint="default" w:ascii="宋体" w:hAnsi="宋体"/>
          <w:sz w:val="24"/>
          <w:lang w:val="en-US" w:eastAsia="zh-CN"/>
        </w:rPr>
        <w:t>理</w:t>
      </w:r>
      <w:r>
        <w:rPr>
          <w:rFonts w:hint="eastAsia" w:ascii="宋体" w:hAnsi="宋体"/>
          <w:sz w:val="24"/>
          <w:lang w:val="en-US" w:eastAsia="zh-CN"/>
        </w:rPr>
        <w:t>体系认证证书，2024年9月获得常州市专精特新中小企业。</w:t>
      </w:r>
    </w:p>
    <w:p w14:paraId="74956F1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目前公司的主营产品起重量限制器和起重机电子秤是国内起重机械龙头企业——河南卫华重型机械股份有限公司、河南矿山起重机有限公司和北京起重运输机械设计研究院有限公司优选产品。产品质量水平处于国内领先，行业内产品市场占有率省里排名第一，国内排名前三。</w:t>
      </w:r>
    </w:p>
    <w:p w14:paraId="139C49BA">
      <w:pPr>
        <w:pStyle w:val="2"/>
        <w:rPr>
          <w:rFonts w:hint="eastAsia"/>
          <w:lang w:val="en-US" w:eastAsia="zh-CN"/>
        </w:rPr>
      </w:pPr>
      <w:bookmarkStart w:id="3" w:name="_Toc2111"/>
      <w:bookmarkStart w:id="4" w:name="_Toc9054"/>
      <w:bookmarkStart w:id="5" w:name="_Toc18032"/>
      <w:bookmarkStart w:id="6" w:name="_Toc21619"/>
      <w:r>
        <w:rPr>
          <w:rFonts w:hint="eastAsia"/>
          <w:lang w:val="en-US" w:eastAsia="zh-CN"/>
        </w:rPr>
        <w:t>二、发展现状</w:t>
      </w:r>
      <w:bookmarkEnd w:id="3"/>
      <w:bookmarkEnd w:id="4"/>
      <w:bookmarkEnd w:id="5"/>
      <w:bookmarkEnd w:id="6"/>
    </w:p>
    <w:p w14:paraId="5D3911E2">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常州常欣起重物联科技有限公司成立于2018年7月，由常州市常欣电子衡器有限公司全额投资，是具有独立法人的高新技术企业，位于江苏省常州市国家高新区。公司主要开发、生产、销售和服务各种型号规格的起重量限制器和起重机电子秤等起重机械安全保护装置。公司已通过质量体系认定，注重产品质量管理并牢记科学技术是第一生产力的宗旨，拥有3项发明专利、13项实用新型专利和9项软件著作权，于2022年12月顺利通过知识产权管理体系认定。公司重视主营产品的科技创新和品牌建设，2022年11月被认定为国家级高新技术企业，2023年4月获得职业健康安全管理体系认证证书和环境管理体系认证证书，2024年9月获得常州市专精特新中小企业称号。其主营产品起重量限制器和起重机电子秤是国内起重机械龙头企业河南卫华重型机械股份有限公司、河南矿山起重机有限公司和北京起重运输机械设计研究院有限公司的优选产品，产品质量水平处于国内领先，行业内产品市场占有率在省里排名第一，国内排名前三。</w:t>
      </w:r>
    </w:p>
    <w:p w14:paraId="7BDE3615">
      <w:pPr>
        <w:pStyle w:val="2"/>
        <w:rPr>
          <w:rFonts w:hint="eastAsia"/>
          <w:lang w:val="en-US" w:eastAsia="zh-CN"/>
        </w:rPr>
      </w:pPr>
      <w:bookmarkStart w:id="7" w:name="_Toc20754"/>
      <w:bookmarkStart w:id="8" w:name="_Toc7000"/>
      <w:bookmarkStart w:id="9" w:name="_Toc8758"/>
      <w:bookmarkStart w:id="10" w:name="_Toc29463"/>
      <w:r>
        <w:rPr>
          <w:rFonts w:hint="eastAsia"/>
          <w:lang w:val="en-US" w:eastAsia="zh-CN"/>
        </w:rPr>
        <w:t>三、组织架构图</w:t>
      </w:r>
      <w:bookmarkEnd w:id="7"/>
      <w:bookmarkEnd w:id="8"/>
      <w:bookmarkEnd w:id="9"/>
      <w:bookmarkEnd w:id="10"/>
    </w:p>
    <w:p w14:paraId="2EF2AB88">
      <w:pPr>
        <w:numPr>
          <w:ilvl w:val="0"/>
          <w:numId w:val="0"/>
        </w:numPr>
      </w:pPr>
      <w:r>
        <w:drawing>
          <wp:inline distT="0" distB="0" distL="114300" distR="114300">
            <wp:extent cx="6079490" cy="31877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079490" cy="3187700"/>
                    </a:xfrm>
                    <a:prstGeom prst="rect">
                      <a:avLst/>
                    </a:prstGeom>
                    <a:noFill/>
                    <a:ln>
                      <a:noFill/>
                    </a:ln>
                  </pic:spPr>
                </pic:pic>
              </a:graphicData>
            </a:graphic>
          </wp:inline>
        </w:drawing>
      </w:r>
    </w:p>
    <w:p w14:paraId="29059CF4">
      <w:pPr>
        <w:numPr>
          <w:ilvl w:val="0"/>
          <w:numId w:val="0"/>
        </w:numPr>
        <w:jc w:val="center"/>
        <w:rPr>
          <w:rFonts w:hint="default" w:eastAsia="宋体"/>
          <w:lang w:val="en-US" w:eastAsia="zh-CN"/>
        </w:rPr>
      </w:pPr>
      <w:r>
        <w:rPr>
          <w:rFonts w:hint="eastAsia" w:eastAsia="宋体"/>
          <w:lang w:val="en-US" w:eastAsia="zh-CN"/>
        </w:rPr>
        <w:t>公司组织架构图</w:t>
      </w:r>
    </w:p>
    <w:p w14:paraId="2B4F5798">
      <w:pPr>
        <w:pStyle w:val="2"/>
        <w:rPr>
          <w:rFonts w:hint="eastAsia"/>
          <w:lang w:val="en-US" w:eastAsia="zh-CN"/>
        </w:rPr>
      </w:pPr>
      <w:bookmarkStart w:id="11" w:name="_Toc20420"/>
      <w:bookmarkStart w:id="12" w:name="_Toc522175436"/>
      <w:bookmarkStart w:id="13" w:name="_Toc21317"/>
      <w:bookmarkStart w:id="14" w:name="_Toc10052"/>
      <w:bookmarkStart w:id="15" w:name="_Toc21643"/>
      <w:r>
        <w:rPr>
          <w:rFonts w:hint="eastAsia"/>
          <w:lang w:val="en-US" w:eastAsia="zh-CN"/>
        </w:rPr>
        <w:t>四、信用建设</w:t>
      </w:r>
      <w:bookmarkEnd w:id="11"/>
      <w:bookmarkEnd w:id="12"/>
      <w:bookmarkEnd w:id="13"/>
      <w:bookmarkEnd w:id="14"/>
      <w:bookmarkEnd w:id="15"/>
    </w:p>
    <w:p w14:paraId="1DE036E4">
      <w:pPr>
        <w:autoSpaceDN w:val="0"/>
        <w:spacing w:before="150" w:after="15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公司一直将信用管理工作作为公司日常管理的一项重要工作内容坚持开展，在市场经济日益发达的现代社会，我们深知“守合同重信用”是企业生存发展之本，企业的信用资质已成为企业在市场竞争中不可或缺的重要标签。公司始终坚持以诚为本，以信迎客，得到了广大客户的积极评价和充分信赖。</w:t>
      </w:r>
    </w:p>
    <w:p w14:paraId="3DA6860C">
      <w:pPr>
        <w:pStyle w:val="2"/>
        <w:rPr>
          <w:rFonts w:hint="eastAsia"/>
          <w:lang w:val="en-US" w:eastAsia="zh-CN"/>
        </w:rPr>
      </w:pPr>
      <w:bookmarkStart w:id="16" w:name="_Toc522175437"/>
      <w:bookmarkStart w:id="17" w:name="_Toc29460"/>
      <w:bookmarkStart w:id="18" w:name="_Toc18506"/>
      <w:bookmarkStart w:id="19" w:name="_Toc26274"/>
      <w:bookmarkStart w:id="20" w:name="_Toc17384"/>
      <w:r>
        <w:rPr>
          <w:rFonts w:hint="eastAsia"/>
          <w:lang w:val="en-US" w:eastAsia="zh-CN"/>
        </w:rPr>
        <w:t>五、环保节约</w:t>
      </w:r>
      <w:bookmarkEnd w:id="16"/>
      <w:bookmarkEnd w:id="17"/>
      <w:bookmarkEnd w:id="18"/>
      <w:bookmarkEnd w:id="19"/>
      <w:bookmarkEnd w:id="20"/>
    </w:p>
    <w:p w14:paraId="38713D32">
      <w:pPr>
        <w:pStyle w:val="3"/>
      </w:pPr>
      <w:bookmarkStart w:id="21" w:name="_Toc522175438"/>
      <w:bookmarkStart w:id="22" w:name="_Toc11770"/>
      <w:bookmarkStart w:id="23" w:name="_Toc5199"/>
      <w:bookmarkStart w:id="24" w:name="_Toc775"/>
      <w:bookmarkStart w:id="25" w:name="_Toc20425"/>
      <w:r>
        <w:rPr>
          <w:rFonts w:hint="eastAsia"/>
        </w:rPr>
        <w:t>1、环境管理</w:t>
      </w:r>
      <w:bookmarkEnd w:id="21"/>
      <w:bookmarkEnd w:id="22"/>
      <w:bookmarkEnd w:id="23"/>
      <w:bookmarkEnd w:id="24"/>
      <w:bookmarkEnd w:id="25"/>
    </w:p>
    <w:p w14:paraId="64940555">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常州常欣起重物联科技有限公司通过了ISO14000环境管理体系、ISO45001职业健康安全管理体系、ISO9001质量管理体系认证,并获得了北京联合智业认证有限公司颁发的三体系认证证书,增强了环境管理和员工职业健康安全的管理能力。建立专门的管理机构，健全完善环境管理制度并纳入正常管理，记录环保设施的运行数据并建立环保档案。建立和完善环境污染事故应急预案，并定期组织演练，确保在突发环境污染事件时能够迅速响应、有效处置。公司积极推行清洁生产，从源头减少污染物的产生，通过优化生产工艺、提升设备效率、采用环保材料等措施，实现生产过程的绿色化转型。同时，公司加强对供应商的环境管理，要求供应商遵守环保法规，提供环保合规的原材料和零部件，共同构建绿色供应链。在废水处理方面，公司投资建设了先进的废水处理设施，采用生物处理、化学处理等多种技术手段，确保废水达标排放。在废气治理方面，公司安装了高效的废气处理装置，对生产过程中产生的废气进行收集和处理，减少大气污染物的排放。此外，公司还注重噪声控制，通过优化设备布局、采用低噪声设备、建设隔音设施等措施，降低生产噪声对周边环境的影响。</w:t>
      </w:r>
    </w:p>
    <w:p w14:paraId="4FB08A7F">
      <w:pPr>
        <w:pStyle w:val="3"/>
      </w:pPr>
      <w:bookmarkStart w:id="26" w:name="_Toc8651"/>
      <w:bookmarkStart w:id="27" w:name="_Toc3780"/>
      <w:bookmarkStart w:id="28" w:name="_Toc5069"/>
      <w:bookmarkStart w:id="29" w:name="_Toc522175439"/>
      <w:bookmarkStart w:id="30" w:name="_Toc5828"/>
      <w:r>
        <w:rPr>
          <w:rFonts w:hint="eastAsia"/>
        </w:rPr>
        <w:t>2、资源节约与综合利用</w:t>
      </w:r>
      <w:bookmarkEnd w:id="26"/>
      <w:bookmarkEnd w:id="27"/>
      <w:bookmarkEnd w:id="28"/>
      <w:bookmarkEnd w:id="29"/>
      <w:bookmarkEnd w:id="30"/>
    </w:p>
    <w:p w14:paraId="573F2899">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公司高度重视资源节约与综合利用工作，将其纳入日常生产经营管理的重要环节，通过技术创新、管理优化和循环利用等多种方式，不断提高资源利用效率，减少资源浪费。</w:t>
      </w:r>
    </w:p>
    <w:p w14:paraId="7F4DB654">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在原材料节约方面，公司加强对生产过程的精细化管理，优化原材料配方和工艺参数，提高原材料利用率。通过引入先进的切割、冲压等设备，减少原材料的边角料产生。同时，公司建立了原材料回收利用机制，对生产过程中产生的边角料、废料等进行分类回收和再利用，实现了资源的循环利用。例如，对金属边角料进行集中回收，交由专业的回收企业进行处理和再加工，使其成为可再利用的原材料；对塑料废料进行粉碎、清洗和造粒处理，用于生产低附加值的塑料制品。</w:t>
      </w:r>
    </w:p>
    <w:p w14:paraId="174E757D">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在水资源节约方面，公司加强对生产用水的管理，安装了先进的水循环利用系统，对生产过程中产生的冷却水、清洗水等进行处理和回用，提高水的重复利用率。同时，公司加强对用水设备的维护和管理，定期检查和更换老化的水管和阀门，减少水资源的跑冒滴漏。此外，公司还积极推广节水型器具和设备，降低单位产品的用水量。</w:t>
      </w:r>
    </w:p>
    <w:p w14:paraId="62E3AE21">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在能源节约方面，公司加大对节能技术和设备的投入，引进了一批高效节能的生产设备和照明设备，降低单位产品的能耗。同时，公司加强对能源消耗的监测和管理，建立了能源消耗统计分析制度，及时发现和解决能源消耗过程中存在的问题。通过优化生产调度，合理安排生产计划，避免设备空转和无效运行，提高能源利用效率。此外，公司还积极探索可再生能源的利用，计划在厂区内安装太阳能光伏发电系统，进一步降低对传统能源的依赖。</w:t>
      </w:r>
    </w:p>
    <w:p w14:paraId="286413CE">
      <w:pPr>
        <w:autoSpaceDN w:val="0"/>
        <w:spacing w:before="150" w:after="150" w:line="360" w:lineRule="auto"/>
        <w:ind w:firstLine="480" w:firstLineChars="200"/>
        <w:rPr>
          <w:rFonts w:hint="eastAsia" w:ascii="宋体" w:hAnsi="宋体" w:eastAsia="宋体"/>
          <w:sz w:val="24"/>
          <w:lang w:val="en-US" w:eastAsia="en-US"/>
        </w:rPr>
      </w:pPr>
      <w:r>
        <w:rPr>
          <w:rFonts w:hint="eastAsia" w:ascii="宋体" w:hAnsi="宋体" w:eastAsia="宋体"/>
          <w:sz w:val="24"/>
          <w:lang w:val="en-US" w:eastAsia="zh-CN"/>
        </w:rPr>
        <w:t>在包装材料节约方面，公司积极推广绿色包装理念，减少包装材料的使用量。通过优化产品包装设计，采用轻量化、可回收的包装材料，降低包装成本和对环境的影响。同时，公司鼓励供应商采用可回收的包装材料，并建立了包装材料回收制度，对使用后的包装材料进行回收和再利用。</w:t>
      </w:r>
    </w:p>
    <w:p w14:paraId="4761D264">
      <w:pPr>
        <w:pStyle w:val="3"/>
      </w:pPr>
      <w:bookmarkStart w:id="31" w:name="_Toc5977"/>
      <w:bookmarkStart w:id="32" w:name="_Toc11966"/>
      <w:bookmarkStart w:id="33" w:name="_Toc5778"/>
      <w:bookmarkStart w:id="34" w:name="_Toc3918"/>
      <w:r>
        <w:t>3</w:t>
      </w:r>
      <w:r>
        <w:rPr>
          <w:rFonts w:hint="eastAsia"/>
        </w:rPr>
        <w:t>、节能减排</w:t>
      </w:r>
      <w:bookmarkEnd w:id="31"/>
      <w:bookmarkEnd w:id="32"/>
      <w:bookmarkEnd w:id="33"/>
      <w:bookmarkEnd w:id="34"/>
    </w:p>
    <w:p w14:paraId="0B4E82D1">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“节能降耗、提质高效”是公司节能生产的基本理念。公司在建设初期就对公司的能源利用工作从战略的高度进行布局,成立能源管理部门，全面系统的管理公司的能源事项。</w:t>
      </w:r>
    </w:p>
    <w:p w14:paraId="5DFD3F40">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公司严格按照 GB 17167-2006《用能单位能源计量器具配备和管理通则》的要规定配备能源计量器具。</w:t>
      </w:r>
    </w:p>
    <w:p w14:paraId="01EBED7A">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高度重视节能减排工作，结合自身发展实际从流程优化、节能减排、淘汰落后产能、应用先进技术入手，将资源综合利用、节能降耗放在首位，按照“治理源头、监督过程、综合利用、末端治理”的思路，大力建设资源节约型、环境友好型、持续发展型的新工厂。</w:t>
      </w:r>
    </w:p>
    <w:p w14:paraId="1282E237">
      <w:pPr>
        <w:pStyle w:val="2"/>
        <w:rPr>
          <w:rFonts w:hint="eastAsia"/>
          <w:lang w:val="en-US" w:eastAsia="zh-CN"/>
        </w:rPr>
      </w:pPr>
      <w:bookmarkStart w:id="35" w:name="_Toc522175440"/>
      <w:bookmarkStart w:id="36" w:name="_Toc3295"/>
      <w:bookmarkStart w:id="37" w:name="_Toc6971"/>
      <w:bookmarkStart w:id="38" w:name="_Toc13375"/>
      <w:bookmarkStart w:id="39" w:name="_Toc6939"/>
      <w:r>
        <w:rPr>
          <w:rFonts w:hint="eastAsia"/>
          <w:lang w:val="en-US" w:eastAsia="zh-CN"/>
        </w:rPr>
        <w:t>六、安全生产</w:t>
      </w:r>
      <w:bookmarkEnd w:id="35"/>
      <w:bookmarkEnd w:id="36"/>
      <w:bookmarkEnd w:id="37"/>
      <w:bookmarkEnd w:id="38"/>
      <w:bookmarkEnd w:id="39"/>
    </w:p>
    <w:p w14:paraId="422D21EF">
      <w:pPr>
        <w:pStyle w:val="3"/>
      </w:pPr>
      <w:bookmarkStart w:id="40" w:name="_Toc11305"/>
      <w:bookmarkStart w:id="41" w:name="_Toc522175441"/>
      <w:bookmarkStart w:id="42" w:name="_Toc13312"/>
      <w:bookmarkStart w:id="43" w:name="_Toc10839"/>
      <w:bookmarkStart w:id="44" w:name="_Toc23611"/>
      <w:r>
        <w:rPr>
          <w:rFonts w:hint="eastAsia"/>
        </w:rPr>
        <w:t>1、安全生产管理</w:t>
      </w:r>
      <w:bookmarkEnd w:id="40"/>
      <w:bookmarkEnd w:id="41"/>
      <w:bookmarkEnd w:id="42"/>
      <w:bookmarkEnd w:id="43"/>
      <w:bookmarkEnd w:id="44"/>
    </w:p>
    <w:p w14:paraId="587BB260">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本着“安全第一，预防为主”的安全生产方针。逐步推行现代安全管理，重视员工在作业中的安全和健康，成立有公司安全生产领导小组、明确有安全归口管理部门、配备有专兼职安全管理人员，安全生产管理网络健全，制定有各级安全生产责任制、安全生产管理制度，职能部门职责明确，并获得了常州市安全生产监督管理局颁发的《安全生产标准化证书》。</w:t>
      </w:r>
    </w:p>
    <w:p w14:paraId="1C7703F0">
      <w:pPr>
        <w:pStyle w:val="3"/>
      </w:pPr>
      <w:bookmarkStart w:id="45" w:name="_Toc522175442"/>
      <w:bookmarkStart w:id="46" w:name="_Toc18624"/>
      <w:bookmarkStart w:id="47" w:name="_Toc849"/>
      <w:bookmarkStart w:id="48" w:name="_Toc18507"/>
      <w:bookmarkStart w:id="49" w:name="_Toc27657"/>
      <w:r>
        <w:rPr>
          <w:rFonts w:hint="eastAsia"/>
        </w:rPr>
        <w:t>2、安全生产投入</w:t>
      </w:r>
      <w:bookmarkEnd w:id="45"/>
      <w:bookmarkEnd w:id="46"/>
      <w:bookmarkEnd w:id="47"/>
      <w:bookmarkEnd w:id="48"/>
      <w:bookmarkEnd w:id="49"/>
    </w:p>
    <w:p w14:paraId="1CDED9B8">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根据国家法律法规要求制定并严格执行安全生产预算，制定应急预案并进行演练，组织实施安全改善项目。每年投入资金为员工提供所需要的安全资源，包括个人防护设备、劳动防护用品等，以预防职业伤害、疾病和事故，以及紧急情况处理。按着“加强管控、防范盗窃、人车分离”安全防范要求，实施“安全技防项目”，为保护企业财产安全、保护员工切身利益，维护企业正常经营管理秩序提供了技术保障，提升了企业安全管理水平。</w:t>
      </w:r>
    </w:p>
    <w:p w14:paraId="2C531EEB">
      <w:pPr>
        <w:pStyle w:val="3"/>
      </w:pPr>
      <w:bookmarkStart w:id="50" w:name="_Toc7877"/>
      <w:bookmarkStart w:id="51" w:name="_Toc522175443"/>
      <w:bookmarkStart w:id="52" w:name="_Toc239"/>
      <w:bookmarkStart w:id="53" w:name="_Toc16387"/>
      <w:bookmarkStart w:id="54" w:name="_Toc18163"/>
      <w:r>
        <w:rPr>
          <w:rFonts w:hint="eastAsia"/>
        </w:rPr>
        <w:t>3、安全生产教育和培训</w:t>
      </w:r>
      <w:bookmarkEnd w:id="50"/>
      <w:bookmarkEnd w:id="51"/>
      <w:bookmarkEnd w:id="52"/>
      <w:bookmarkEnd w:id="53"/>
      <w:bookmarkEnd w:id="54"/>
    </w:p>
    <w:p w14:paraId="0BD5E442">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员工是企业最宝贵的财富，企业的发展离不开员工，我公司一直以来都把安全生产、职工劳动保护工作当作一切工作中的重中之重，切实维护职工的生命安全和职业健康。为进一步加强企业安全工作，营造“安全管理，人人有责”的良好氛围，树立安全为天的思想意识，2024年6月，公司工会联合相关部门举行了“安全生产月”活动启动仪式，结合开展“‘安全生产月’安全知识教育、考核评比”活动，推动公司安全生产工作再上新台阶。此次活动坚持“安全隐患排查与治理”工作为主线，不断夯实安全基础，深入开展隐患排查治理和安全督查工作，宣传安全生产方针政策，合理部署、整体推进，使安全生产管理深入人心，进一步提高全体干部职工的安全意识和责任意识，形成“安全生产，以人为本”的共识。</w:t>
      </w:r>
    </w:p>
    <w:p w14:paraId="27A26503">
      <w:pPr>
        <w:pStyle w:val="2"/>
        <w:rPr>
          <w:rFonts w:hint="eastAsia"/>
          <w:lang w:val="en-US" w:eastAsia="zh-CN"/>
        </w:rPr>
      </w:pPr>
      <w:bookmarkStart w:id="55" w:name="_Toc522175444"/>
      <w:bookmarkStart w:id="56" w:name="_Toc32224"/>
      <w:bookmarkStart w:id="57" w:name="_Toc14150"/>
      <w:bookmarkStart w:id="58" w:name="_Toc19368"/>
      <w:bookmarkStart w:id="59" w:name="_Toc23556"/>
      <w:r>
        <w:rPr>
          <w:rFonts w:hint="eastAsia"/>
          <w:lang w:val="en-US" w:eastAsia="zh-CN"/>
        </w:rPr>
        <w:t>七、员工</w:t>
      </w:r>
      <w:bookmarkEnd w:id="55"/>
      <w:bookmarkEnd w:id="56"/>
      <w:bookmarkEnd w:id="57"/>
      <w:bookmarkEnd w:id="58"/>
      <w:bookmarkEnd w:id="59"/>
    </w:p>
    <w:p w14:paraId="1C09DDF0">
      <w:pPr>
        <w:pStyle w:val="3"/>
      </w:pPr>
      <w:bookmarkStart w:id="60" w:name="_Toc23774"/>
      <w:bookmarkStart w:id="61" w:name="_Toc19655"/>
      <w:bookmarkStart w:id="62" w:name="_Toc5664"/>
      <w:bookmarkStart w:id="63" w:name="_Toc522175445"/>
      <w:bookmarkStart w:id="64" w:name="_Toc30567"/>
      <w:r>
        <w:rPr>
          <w:rFonts w:hint="eastAsia"/>
        </w:rPr>
        <w:t>1、劳动合同与薪酬</w:t>
      </w:r>
      <w:bookmarkEnd w:id="60"/>
      <w:bookmarkEnd w:id="61"/>
      <w:bookmarkEnd w:id="62"/>
      <w:bookmarkEnd w:id="63"/>
      <w:bookmarkEnd w:id="64"/>
    </w:p>
    <w:p w14:paraId="4193FC5B">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公司严格遵守、全面贯彻《中华人民共和国劳动合同法》等法律法规，遵循合法、公平、平等自愿的原则与员工签订书面劳动合同，依法进行劳动合同的履行、变更、解除和终止。劳动合同签约率 100%。公司制定公平合理的薪酬制度，按时足额支付员工薪酬。遵循企业经营效益与员工收入同步提升的原则，根据企业年度经营目标，结合本市颁布的工资增长指导线，比照同行业人工成本和劳动力市场工资指导价位，确定年度平均工资增长幅度。因生产经营需要，安排加班需征得员工同意，按国家劳动法律法规支付相关报酬。</w:t>
      </w:r>
    </w:p>
    <w:p w14:paraId="6545036D">
      <w:pPr>
        <w:pStyle w:val="3"/>
      </w:pPr>
      <w:bookmarkStart w:id="65" w:name="_Toc11337"/>
      <w:bookmarkStart w:id="66" w:name="_Toc522175446"/>
      <w:bookmarkStart w:id="67" w:name="_Toc26121"/>
      <w:bookmarkStart w:id="68" w:name="_Toc19439"/>
      <w:bookmarkStart w:id="69" w:name="_Toc27697"/>
      <w:r>
        <w:rPr>
          <w:rFonts w:hint="eastAsia"/>
        </w:rPr>
        <w:t>2、社会保障</w:t>
      </w:r>
      <w:bookmarkEnd w:id="65"/>
      <w:bookmarkEnd w:id="66"/>
      <w:bookmarkEnd w:id="67"/>
      <w:bookmarkEnd w:id="68"/>
      <w:bookmarkEnd w:id="69"/>
    </w:p>
    <w:p w14:paraId="23A15AAB">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公司依法为员工按时足额缴纳养老金、失业保险金、医疗保险金等社会保险。</w:t>
      </w:r>
    </w:p>
    <w:p w14:paraId="00202572">
      <w:pPr>
        <w:pStyle w:val="3"/>
      </w:pPr>
      <w:bookmarkStart w:id="70" w:name="_Toc17333"/>
      <w:bookmarkStart w:id="71" w:name="_Toc21128"/>
      <w:bookmarkStart w:id="72" w:name="_Toc14352"/>
      <w:bookmarkStart w:id="73" w:name="_Toc4384"/>
      <w:bookmarkStart w:id="74" w:name="_Toc522175447"/>
      <w:r>
        <w:rPr>
          <w:rFonts w:hint="eastAsia"/>
        </w:rPr>
        <w:t>3、员工福利</w:t>
      </w:r>
      <w:bookmarkEnd w:id="70"/>
      <w:bookmarkEnd w:id="71"/>
      <w:bookmarkEnd w:id="72"/>
      <w:bookmarkEnd w:id="73"/>
      <w:bookmarkEnd w:id="74"/>
    </w:p>
    <w:p w14:paraId="6C49394A">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为丰富员工的业余生活，公司也组织策划了各类型活动，如生日联谊会；元宵节猜灯谜、包汤圆；小年包饺子；中秋节送福利等等。这些活动活跃和丰富了员工业余生活，激发了员工学习热情，增强了大家的凝聚力，在公司形成了良好的学习氛围。</w:t>
      </w:r>
    </w:p>
    <w:p w14:paraId="5027B289">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对员工的责任是让全体员工安全、健康、快乐、富有。体现的是“家”文化。公司工会更是以关心员工生活，为群众办好事实事为已任，工会委员把关心做到“家”。公司工会每年会拿出一部分资金慰问在职和已退休的困难员工，认真了解员工的实际工作状况和所思所想所求，为员工排忧解难。</w:t>
      </w:r>
    </w:p>
    <w:p w14:paraId="1DF91427">
      <w:pPr>
        <w:pStyle w:val="3"/>
      </w:pPr>
      <w:bookmarkStart w:id="75" w:name="_Toc10797"/>
      <w:bookmarkStart w:id="76" w:name="_Toc10504"/>
      <w:bookmarkStart w:id="77" w:name="_Toc13478"/>
      <w:bookmarkStart w:id="78" w:name="_Toc2820"/>
      <w:bookmarkStart w:id="79" w:name="_Toc522175448"/>
      <w:r>
        <w:rPr>
          <w:rFonts w:hint="eastAsia"/>
        </w:rPr>
        <w:t>4、职业健康安全</w:t>
      </w:r>
      <w:bookmarkEnd w:id="75"/>
      <w:bookmarkEnd w:id="76"/>
      <w:bookmarkEnd w:id="77"/>
      <w:bookmarkEnd w:id="78"/>
      <w:bookmarkEnd w:id="79"/>
    </w:p>
    <w:p w14:paraId="7786E299">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关注员工身心健康，进行全员健康普查。公司每年一次为员工进行健康普查，为女员工进行妇科检查。建立了员工健康电子档案。与此同时，积极开展职业健康宣传，利用发布预防疾病的信息和知识等综合手段，关心员工健康，减少疾病危害。</w:t>
      </w:r>
    </w:p>
    <w:p w14:paraId="0CAFFDE6">
      <w:pPr>
        <w:pStyle w:val="3"/>
      </w:pPr>
      <w:bookmarkStart w:id="80" w:name="_Toc17345"/>
      <w:bookmarkStart w:id="81" w:name="_Toc26042"/>
      <w:bookmarkStart w:id="82" w:name="_Toc522175449"/>
      <w:bookmarkStart w:id="83" w:name="_Toc8100"/>
      <w:bookmarkStart w:id="84" w:name="_Toc15352"/>
      <w:r>
        <w:rPr>
          <w:rFonts w:hint="eastAsia"/>
        </w:rPr>
        <w:t>5、民主管理</w:t>
      </w:r>
      <w:bookmarkEnd w:id="80"/>
      <w:bookmarkEnd w:id="81"/>
      <w:bookmarkEnd w:id="82"/>
      <w:bookmarkEnd w:id="83"/>
      <w:bookmarkEnd w:id="84"/>
    </w:p>
    <w:p w14:paraId="56AC0CD6">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依法建立健全工会组织，维护员工权益。支持工会依法开展各项活动，定期和工会沟通，积极回应工会及其代表所投送的报告、建议及意见书等。工会主席参与涉及员工切身利益的规章制度的编制和讨论，并通过员工（代表）大会等途径审议确定。建立工资集体协商机制，针对相关的重大事项，如：工资调整机制、奖励性工资、加班工资、最低工资水平等进行平等协商；在各项涉及到员工利益的改革措施出台前，坚持召开员工代表大会以投票表决的形式予以通过后实施。公司全力支持员工参加工会，鼓励员工多途径参与民主管理。如：职代会制度，领导干部民主评议等。公司成立由党支部、工会和员工代表三方组成的劳动纠纷调解委员会，建立劳动纠纷调解的处理程序。</w:t>
      </w:r>
    </w:p>
    <w:p w14:paraId="217554FF">
      <w:pPr>
        <w:pStyle w:val="3"/>
      </w:pPr>
      <w:bookmarkStart w:id="85" w:name="_Toc522175450"/>
      <w:bookmarkStart w:id="86" w:name="_Toc3062"/>
      <w:bookmarkStart w:id="87" w:name="_Toc28097"/>
      <w:bookmarkStart w:id="88" w:name="_Toc11970"/>
      <w:bookmarkStart w:id="89" w:name="_Toc13578"/>
      <w:r>
        <w:rPr>
          <w:rFonts w:hint="eastAsia"/>
        </w:rPr>
        <w:t>6、员工培训和发展</w:t>
      </w:r>
      <w:bookmarkEnd w:id="85"/>
      <w:bookmarkEnd w:id="86"/>
      <w:bookmarkEnd w:id="87"/>
      <w:bookmarkEnd w:id="88"/>
      <w:bookmarkEnd w:id="89"/>
    </w:p>
    <w:p w14:paraId="2D4A79A7">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开展全方位、多层次、系统性的教育培训。公司将培训内容分为入职培训、专业培训、管理培训三种，将培训形式分为公开课、内部培训、内训、培训项目四种。公司实施个性化的员工学习与发展计划。针对专业技术人员，邀请国际国内技术专家举办专题讲座，每年技术研究报告会等形式，将知识和经验进行传承。针对制造现场人员，对不同的职位开展一系列活动和培训，如上岗培训、班长培训、岗位技能培训、学历培训等等。</w:t>
      </w:r>
    </w:p>
    <w:p w14:paraId="78774964">
      <w:pPr>
        <w:pStyle w:val="2"/>
        <w:rPr>
          <w:rFonts w:hint="eastAsia"/>
          <w:lang w:val="en-US" w:eastAsia="zh-CN"/>
        </w:rPr>
      </w:pPr>
      <w:bookmarkStart w:id="90" w:name="_Toc522175451"/>
      <w:bookmarkStart w:id="91" w:name="_Toc24784"/>
      <w:bookmarkStart w:id="92" w:name="_Toc12921"/>
      <w:bookmarkStart w:id="93" w:name="_Toc9461"/>
      <w:bookmarkStart w:id="94" w:name="_Toc4223"/>
      <w:r>
        <w:rPr>
          <w:rFonts w:hint="eastAsia"/>
          <w:lang w:val="en-US" w:eastAsia="zh-CN"/>
        </w:rPr>
        <w:t>八、社会责任</w:t>
      </w:r>
      <w:bookmarkEnd w:id="90"/>
      <w:bookmarkEnd w:id="91"/>
      <w:bookmarkEnd w:id="92"/>
      <w:bookmarkEnd w:id="93"/>
      <w:bookmarkEnd w:id="94"/>
    </w:p>
    <w:p w14:paraId="13476E34">
      <w:pPr>
        <w:spacing w:line="360" w:lineRule="auto"/>
        <w:ind w:firstLine="480" w:firstLineChars="200"/>
        <w:outlineLvl w:val="1"/>
        <w:rPr>
          <w:rFonts w:ascii="宋体" w:hAnsi="宋体"/>
          <w:b/>
          <w:sz w:val="24"/>
        </w:rPr>
      </w:pPr>
      <w:bookmarkStart w:id="95" w:name="_Toc14487"/>
      <w:bookmarkStart w:id="96" w:name="_Toc26454"/>
      <w:bookmarkStart w:id="97" w:name="_Toc522175452"/>
      <w:bookmarkStart w:id="98" w:name="_Toc1806"/>
      <w:bookmarkStart w:id="99" w:name="_Toc32082"/>
      <w:r>
        <w:rPr>
          <w:rFonts w:hint="eastAsia" w:ascii="宋体" w:hAnsi="宋体"/>
          <w:b/>
          <w:sz w:val="24"/>
        </w:rPr>
        <w:t>提要</w:t>
      </w:r>
      <w:bookmarkEnd w:id="95"/>
      <w:bookmarkEnd w:id="96"/>
      <w:bookmarkEnd w:id="97"/>
      <w:bookmarkEnd w:id="98"/>
      <w:bookmarkEnd w:id="99"/>
    </w:p>
    <w:p w14:paraId="0486EDBB">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一个卓越企业既要考虑当前利益，更重要的是着眼长远可持续发展。而长远发展和持续经营，离不开社会的协同、和谐与发展。认真履行社会责任是不可小视的重要内容。常州常欣起重物联科技有限公司在追求经济效益、保护投资方利益、不断发展的同时，积极履行公共责任及恪守道德规范，保护职工的合法权益，诚信对待供应商、客户，做到以公司的健康发展实现投资方、员工收益同步成长，让客户满意、社会放心，从而促进公司与社会的协调、和谐发展。</w:t>
      </w:r>
    </w:p>
    <w:p w14:paraId="6D1ED0BB">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承担的社会责任包括：公共责任、道德规范和自愿开展的公益支持三部分。</w:t>
      </w:r>
    </w:p>
    <w:p w14:paraId="523A98D5">
      <w:pPr>
        <w:spacing w:line="360" w:lineRule="auto"/>
        <w:outlineLvl w:val="1"/>
        <w:rPr>
          <w:rFonts w:ascii="宋体" w:hAnsi="宋体"/>
          <w:b/>
        </w:rPr>
      </w:pPr>
      <w:bookmarkStart w:id="100" w:name="_Toc10405"/>
      <w:bookmarkStart w:id="101" w:name="_Toc7712"/>
      <w:bookmarkStart w:id="102" w:name="_Toc23030"/>
      <w:bookmarkStart w:id="103" w:name="_Toc10464"/>
      <w:bookmarkStart w:id="104" w:name="_Toc522175453"/>
      <w:r>
        <w:rPr>
          <w:rFonts w:hint="eastAsia" w:ascii="宋体" w:hAnsi="宋体"/>
          <w:b/>
          <w:sz w:val="24"/>
        </w:rPr>
        <w:t>1、公共责任</w:t>
      </w:r>
      <w:bookmarkEnd w:id="100"/>
      <w:bookmarkEnd w:id="101"/>
      <w:bookmarkEnd w:id="102"/>
      <w:bookmarkEnd w:id="103"/>
      <w:bookmarkEnd w:id="104"/>
    </w:p>
    <w:p w14:paraId="2D0609CF">
      <w:pPr>
        <w:spacing w:line="360" w:lineRule="auto"/>
        <w:ind w:firstLine="480" w:firstLineChars="200"/>
        <w:rPr>
          <w:rFonts w:ascii="宋体" w:hAnsi="宋体"/>
          <w:b/>
          <w:sz w:val="24"/>
        </w:rPr>
      </w:pPr>
      <w:r>
        <w:rPr>
          <w:rFonts w:hint="eastAsia" w:ascii="宋体" w:hAnsi="宋体"/>
          <w:b/>
          <w:sz w:val="24"/>
        </w:rPr>
        <w:t>（1）公司对质量安全、环境保护、能源节约和资源综合利用以及公共卫生等方面的社会影响，并采取预防、控制和改进措施。</w:t>
      </w:r>
    </w:p>
    <w:p w14:paraId="5BB3094A">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 xml:space="preserve">常州常欣起重物联科技有限公司是一家专注于各种型号规格的起重量限制器和起重机电子秤等起重机械安全保护装置研发、生产与销售的国家级高新技术企业，其综合性能经得起最严苛的考验。    </w:t>
      </w:r>
    </w:p>
    <w:p w14:paraId="7E783378">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公司严格执行GBT19001/ISO16949 质量管理体系要求，GB/T24001/ISO14001环境管理体系和GB/T28001/OHSAS18001职业健康安全管理体系要求，公司制定了严密的质量安全防控体系，公司的产品经过充分设计论证、试验、检验、测试，才能投入正常生产运行。公司在积极推行安全体系标准化工作，获得了社会、员工、客户的广泛认可。</w:t>
      </w:r>
    </w:p>
    <w:p w14:paraId="040A68E4">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着眼于高性能、节约环保型产品的开发，生产各种型号规格的起重量限制器和起重机电子秤等起重机械安全保护装置等系列产品，以优异的性能，为企业、为客户、为社会创造了较高的经济利益，同时大大降低了资源、能源消耗，成为了节能环保型产品的典范。公司的产品严格按照节能、环保的理念设计、制造，既降低了生产成本，同时实现了效益生产。</w:t>
      </w:r>
    </w:p>
    <w:p w14:paraId="1E66B7D7">
      <w:pPr>
        <w:spacing w:line="360" w:lineRule="auto"/>
        <w:ind w:firstLine="480" w:firstLineChars="200"/>
        <w:rPr>
          <w:rFonts w:ascii="宋体" w:hAnsi="宋体"/>
          <w:b/>
          <w:sz w:val="24"/>
        </w:rPr>
      </w:pPr>
      <w:r>
        <w:rPr>
          <w:rFonts w:hint="eastAsia" w:ascii="宋体" w:hAnsi="宋体"/>
          <w:b/>
          <w:sz w:val="24"/>
        </w:rPr>
        <w:t>(2)主动预见公众对产品、服务和运营方面的隐忧，做出应对准备</w:t>
      </w:r>
    </w:p>
    <w:p w14:paraId="65A771BE">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公司在应对公众对新建基础设施的环境安全的隐忧问题上，除了确保配套环境、安全设施的同时设计、同时施工、同时交付使用外；应对公众对突发事件的隐忧，还制定应急预案并进行定期演练。</w:t>
      </w:r>
    </w:p>
    <w:p w14:paraId="63C38088">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常州常欣起重物联科技有限公司在办公楼设立了明确的消防、安全应急通道、安全指示牌、应急电源指示灯等；生产现场、作业区明确安全通道、光栅栏、各安全消防设施存放等标识；电器设备、起重设备、机械等设备明确的载荷、安全作业指标标识；设立了疏散、集合点等等。</w:t>
      </w:r>
    </w:p>
    <w:p w14:paraId="5E26BA92">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准确把握法规、标准、政策走向及公众关注焦点，通过行业协会信息收集、专业研究机构咨询、开展公众调查等方法，组织分析论证，听取政府机构和行业专家的意见建议，找出目前关注的环保、节能、安全生产等方面问题，不断改进完善相应的对策和措施。并在打造舒适环境、创建国际一流的花园式工业企业方面，取得了显著效果。公司针对公众隐忧的原因分析及采取措施见表1.4-1。</w:t>
      </w:r>
    </w:p>
    <w:p w14:paraId="746388F0">
      <w:pPr>
        <w:spacing w:line="360" w:lineRule="auto"/>
        <w:ind w:firstLine="480" w:firstLineChars="200"/>
        <w:rPr>
          <w:rFonts w:ascii="宋体" w:hAnsi="宋体"/>
          <w:sz w:val="24"/>
        </w:rPr>
      </w:pPr>
    </w:p>
    <w:p w14:paraId="0ED052BA">
      <w:pPr>
        <w:jc w:val="center"/>
        <w:rPr>
          <w:rFonts w:ascii="宋体" w:hAnsi="宋体"/>
          <w:szCs w:val="21"/>
        </w:rPr>
      </w:pPr>
      <w:r>
        <w:rPr>
          <w:rFonts w:hint="eastAsia" w:ascii="宋体" w:hAnsi="宋体"/>
          <w:szCs w:val="21"/>
        </w:rPr>
        <w:t>表1.4-1  公司针对公众隐忧的原因分析及采取措施</w:t>
      </w:r>
    </w:p>
    <w:p w14:paraId="7A76AB7D">
      <w:pPr>
        <w:jc w:val="center"/>
        <w:rPr>
          <w:rFonts w:ascii="宋体" w:hAnsi="宋体"/>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24"/>
        <w:gridCol w:w="6478"/>
      </w:tblGrid>
      <w:tr w14:paraId="7DBE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17" w:type="dxa"/>
            <w:shd w:val="clear" w:color="auto" w:fill="D7D7D7"/>
            <w:vAlign w:val="center"/>
          </w:tcPr>
          <w:p w14:paraId="69025B52">
            <w:pPr>
              <w:spacing w:line="240" w:lineRule="exact"/>
              <w:jc w:val="center"/>
              <w:rPr>
                <w:rFonts w:ascii="宋体" w:hAnsi="宋体"/>
                <w:b/>
                <w:bCs/>
                <w:szCs w:val="21"/>
              </w:rPr>
            </w:pPr>
            <w:r>
              <w:rPr>
                <w:rFonts w:hint="eastAsia" w:ascii="宋体" w:hAnsi="宋体"/>
                <w:b/>
                <w:bCs/>
                <w:szCs w:val="21"/>
              </w:rPr>
              <w:t>公共</w:t>
            </w:r>
          </w:p>
          <w:p w14:paraId="1A764A02">
            <w:pPr>
              <w:spacing w:line="240" w:lineRule="exact"/>
              <w:jc w:val="center"/>
              <w:rPr>
                <w:rFonts w:ascii="宋体" w:hAnsi="宋体"/>
                <w:b/>
                <w:bCs/>
                <w:szCs w:val="21"/>
              </w:rPr>
            </w:pPr>
            <w:r>
              <w:rPr>
                <w:rFonts w:hint="eastAsia" w:ascii="宋体" w:hAnsi="宋体"/>
                <w:b/>
                <w:bCs/>
                <w:szCs w:val="21"/>
              </w:rPr>
              <w:t>隐忧</w:t>
            </w:r>
          </w:p>
        </w:tc>
        <w:tc>
          <w:tcPr>
            <w:tcW w:w="1824" w:type="dxa"/>
            <w:shd w:val="clear" w:color="auto" w:fill="D7D7D7"/>
            <w:vAlign w:val="center"/>
          </w:tcPr>
          <w:p w14:paraId="4701F3CF">
            <w:pPr>
              <w:spacing w:line="240" w:lineRule="exact"/>
              <w:jc w:val="center"/>
              <w:rPr>
                <w:rFonts w:ascii="宋体" w:hAnsi="宋体"/>
                <w:b/>
                <w:bCs/>
                <w:szCs w:val="21"/>
              </w:rPr>
            </w:pPr>
            <w:r>
              <w:rPr>
                <w:rFonts w:hint="eastAsia" w:ascii="宋体" w:hAnsi="宋体"/>
                <w:b/>
                <w:bCs/>
                <w:szCs w:val="21"/>
              </w:rPr>
              <w:t>产生原因</w:t>
            </w:r>
          </w:p>
        </w:tc>
        <w:tc>
          <w:tcPr>
            <w:tcW w:w="6478" w:type="dxa"/>
            <w:shd w:val="clear" w:color="auto" w:fill="D7D7D7"/>
            <w:vAlign w:val="center"/>
          </w:tcPr>
          <w:p w14:paraId="30F3382C">
            <w:pPr>
              <w:spacing w:line="240" w:lineRule="exact"/>
              <w:jc w:val="center"/>
              <w:rPr>
                <w:rFonts w:ascii="宋体" w:hAnsi="宋体"/>
                <w:b/>
                <w:bCs/>
                <w:szCs w:val="21"/>
              </w:rPr>
            </w:pPr>
            <w:r>
              <w:rPr>
                <w:rFonts w:hint="eastAsia" w:ascii="宋体" w:hAnsi="宋体"/>
                <w:b/>
                <w:bCs/>
                <w:szCs w:val="21"/>
              </w:rPr>
              <w:t>应对措施</w:t>
            </w:r>
          </w:p>
        </w:tc>
      </w:tr>
      <w:tr w14:paraId="022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17" w:type="dxa"/>
            <w:shd w:val="clear" w:color="auto" w:fill="D7D7D7"/>
            <w:vAlign w:val="center"/>
          </w:tcPr>
          <w:p w14:paraId="19D8E645">
            <w:pPr>
              <w:spacing w:line="240" w:lineRule="exact"/>
              <w:jc w:val="center"/>
              <w:rPr>
                <w:rFonts w:ascii="宋体" w:hAnsi="宋体"/>
                <w:b/>
                <w:bCs/>
                <w:szCs w:val="21"/>
              </w:rPr>
            </w:pPr>
            <w:r>
              <w:rPr>
                <w:rFonts w:hint="eastAsia" w:ascii="宋体" w:hAnsi="宋体"/>
                <w:b/>
                <w:bCs/>
                <w:szCs w:val="21"/>
              </w:rPr>
              <w:t>产品安全</w:t>
            </w:r>
          </w:p>
        </w:tc>
        <w:tc>
          <w:tcPr>
            <w:tcW w:w="1824" w:type="dxa"/>
            <w:vAlign w:val="center"/>
          </w:tcPr>
          <w:p w14:paraId="31069AF1">
            <w:pPr>
              <w:spacing w:line="240" w:lineRule="exact"/>
              <w:rPr>
                <w:rFonts w:ascii="宋体" w:hAnsi="宋体"/>
                <w:szCs w:val="21"/>
              </w:rPr>
            </w:pPr>
            <w:r>
              <w:rPr>
                <w:rFonts w:hint="eastAsia" w:ascii="宋体" w:hAnsi="宋体"/>
                <w:szCs w:val="21"/>
              </w:rPr>
              <w:t>有害物质</w:t>
            </w:r>
          </w:p>
        </w:tc>
        <w:tc>
          <w:tcPr>
            <w:tcW w:w="6478" w:type="dxa"/>
            <w:vAlign w:val="center"/>
          </w:tcPr>
          <w:p w14:paraId="6572DA07">
            <w:pPr>
              <w:spacing w:line="240" w:lineRule="exact"/>
              <w:rPr>
                <w:rFonts w:ascii="宋体" w:hAnsi="宋体"/>
                <w:szCs w:val="21"/>
              </w:rPr>
            </w:pPr>
            <w:r>
              <w:rPr>
                <w:rFonts w:hint="eastAsia" w:ascii="宋体" w:hAnsi="宋体"/>
                <w:szCs w:val="21"/>
              </w:rPr>
              <w:t>杜绝使用有害身体健康、有害环境安全的物质和材料。</w:t>
            </w:r>
          </w:p>
        </w:tc>
      </w:tr>
      <w:tr w14:paraId="1174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217" w:type="dxa"/>
            <w:shd w:val="clear" w:color="auto" w:fill="D7D7D7"/>
            <w:vAlign w:val="center"/>
          </w:tcPr>
          <w:p w14:paraId="1A95D4CE">
            <w:pPr>
              <w:spacing w:line="240" w:lineRule="exact"/>
              <w:jc w:val="center"/>
              <w:rPr>
                <w:rFonts w:ascii="宋体" w:hAnsi="宋体"/>
                <w:b/>
                <w:bCs/>
                <w:szCs w:val="21"/>
              </w:rPr>
            </w:pPr>
            <w:r>
              <w:rPr>
                <w:rFonts w:hint="eastAsia" w:ascii="宋体" w:hAnsi="宋体"/>
                <w:b/>
                <w:bCs/>
                <w:szCs w:val="21"/>
              </w:rPr>
              <w:t>环境</w:t>
            </w:r>
          </w:p>
          <w:p w14:paraId="0111B0FE">
            <w:pPr>
              <w:spacing w:line="240" w:lineRule="exact"/>
              <w:jc w:val="center"/>
              <w:rPr>
                <w:rFonts w:ascii="宋体" w:hAnsi="宋体"/>
                <w:b/>
                <w:bCs/>
                <w:szCs w:val="21"/>
              </w:rPr>
            </w:pPr>
            <w:r>
              <w:rPr>
                <w:rFonts w:hint="eastAsia" w:ascii="宋体" w:hAnsi="宋体"/>
                <w:b/>
                <w:bCs/>
                <w:szCs w:val="21"/>
              </w:rPr>
              <w:t>污染</w:t>
            </w:r>
          </w:p>
        </w:tc>
        <w:tc>
          <w:tcPr>
            <w:tcW w:w="1824" w:type="dxa"/>
            <w:vAlign w:val="center"/>
          </w:tcPr>
          <w:p w14:paraId="1EBFB5B3">
            <w:pPr>
              <w:spacing w:line="240" w:lineRule="exact"/>
              <w:rPr>
                <w:rFonts w:ascii="宋体" w:hAnsi="宋体"/>
                <w:szCs w:val="21"/>
              </w:rPr>
            </w:pPr>
            <w:r>
              <w:rPr>
                <w:rFonts w:hint="eastAsia" w:ascii="宋体" w:hAnsi="宋体"/>
                <w:szCs w:val="21"/>
              </w:rPr>
              <w:t>废水、废气、噪音、固体废弃物等会对周边环境带来污染。</w:t>
            </w:r>
          </w:p>
        </w:tc>
        <w:tc>
          <w:tcPr>
            <w:tcW w:w="6478" w:type="dxa"/>
            <w:vAlign w:val="center"/>
          </w:tcPr>
          <w:p w14:paraId="3BAA5B10">
            <w:pPr>
              <w:spacing w:line="240" w:lineRule="exact"/>
              <w:rPr>
                <w:rFonts w:ascii="宋体" w:hAnsi="宋体"/>
                <w:szCs w:val="21"/>
              </w:rPr>
            </w:pPr>
            <w:r>
              <w:rPr>
                <w:rFonts w:hint="eastAsia" w:ascii="宋体" w:hAnsi="宋体"/>
                <w:szCs w:val="21"/>
              </w:rPr>
              <w:t>对环境会带来污染的环境因素严格执行除尘系统净化达标后排放</w:t>
            </w:r>
            <w:r>
              <w:rPr>
                <w:rFonts w:ascii="宋体" w:hAnsi="宋体"/>
                <w:szCs w:val="21"/>
              </w:rPr>
              <w:t xml:space="preserve"> </w:t>
            </w:r>
          </w:p>
        </w:tc>
      </w:tr>
      <w:tr w14:paraId="0C8A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17" w:type="dxa"/>
            <w:shd w:val="clear" w:color="auto" w:fill="D7D7D7"/>
            <w:vAlign w:val="center"/>
          </w:tcPr>
          <w:p w14:paraId="33131FCF">
            <w:pPr>
              <w:spacing w:line="240" w:lineRule="exact"/>
              <w:jc w:val="center"/>
              <w:rPr>
                <w:rFonts w:ascii="宋体" w:hAnsi="宋体"/>
                <w:b/>
                <w:bCs/>
                <w:szCs w:val="21"/>
              </w:rPr>
            </w:pPr>
            <w:r>
              <w:rPr>
                <w:rFonts w:hint="eastAsia" w:ascii="宋体" w:hAnsi="宋体"/>
                <w:b/>
                <w:bCs/>
                <w:szCs w:val="21"/>
              </w:rPr>
              <w:t>能源消耗</w:t>
            </w:r>
          </w:p>
        </w:tc>
        <w:tc>
          <w:tcPr>
            <w:tcW w:w="1824" w:type="dxa"/>
            <w:vAlign w:val="center"/>
          </w:tcPr>
          <w:p w14:paraId="7FB81C31">
            <w:pPr>
              <w:spacing w:line="240" w:lineRule="exact"/>
              <w:rPr>
                <w:rFonts w:ascii="宋体" w:hAnsi="宋体"/>
                <w:szCs w:val="21"/>
              </w:rPr>
            </w:pPr>
            <w:r>
              <w:rPr>
                <w:rFonts w:hint="eastAsia" w:ascii="宋体" w:hAnsi="宋体"/>
                <w:szCs w:val="21"/>
              </w:rPr>
              <w:t>水、电、蒸汽、天然气消耗。</w:t>
            </w:r>
          </w:p>
        </w:tc>
        <w:tc>
          <w:tcPr>
            <w:tcW w:w="6478" w:type="dxa"/>
            <w:vAlign w:val="center"/>
          </w:tcPr>
          <w:p w14:paraId="551E7564">
            <w:pPr>
              <w:spacing w:line="240" w:lineRule="exact"/>
              <w:rPr>
                <w:rFonts w:ascii="宋体" w:hAnsi="宋体"/>
                <w:szCs w:val="21"/>
              </w:rPr>
            </w:pPr>
            <w:r>
              <w:rPr>
                <w:rFonts w:hint="eastAsia" w:ascii="宋体" w:hAnsi="宋体"/>
                <w:szCs w:val="21"/>
              </w:rPr>
              <w:t>严格杜绝跑、冒、滴漏现象，自觉抵制长明灯、无人灯，做到随用随开、随停随闭，响应国家峰谷用电政策。</w:t>
            </w:r>
          </w:p>
        </w:tc>
      </w:tr>
      <w:tr w14:paraId="750F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217" w:type="dxa"/>
            <w:shd w:val="clear" w:color="auto" w:fill="D7D7D7"/>
            <w:vAlign w:val="center"/>
          </w:tcPr>
          <w:p w14:paraId="66C55E4C">
            <w:pPr>
              <w:spacing w:line="240" w:lineRule="exact"/>
              <w:jc w:val="center"/>
              <w:rPr>
                <w:rFonts w:ascii="宋体" w:hAnsi="宋体"/>
                <w:b/>
                <w:bCs/>
                <w:szCs w:val="21"/>
              </w:rPr>
            </w:pPr>
            <w:r>
              <w:rPr>
                <w:rFonts w:hint="eastAsia" w:ascii="宋体" w:hAnsi="宋体"/>
                <w:b/>
                <w:bCs/>
                <w:szCs w:val="21"/>
              </w:rPr>
              <w:t>安全生产</w:t>
            </w:r>
          </w:p>
        </w:tc>
        <w:tc>
          <w:tcPr>
            <w:tcW w:w="1824" w:type="dxa"/>
            <w:vAlign w:val="center"/>
          </w:tcPr>
          <w:p w14:paraId="3CBF785B">
            <w:pPr>
              <w:spacing w:line="240" w:lineRule="exact"/>
              <w:rPr>
                <w:rFonts w:ascii="宋体" w:hAnsi="宋体"/>
                <w:szCs w:val="21"/>
              </w:rPr>
            </w:pPr>
            <w:r>
              <w:rPr>
                <w:rFonts w:hint="eastAsia" w:ascii="宋体" w:hAnsi="宋体"/>
                <w:szCs w:val="21"/>
              </w:rPr>
              <w:t>火警、火灾事故会对周边居民生活带来影响。</w:t>
            </w:r>
          </w:p>
        </w:tc>
        <w:tc>
          <w:tcPr>
            <w:tcW w:w="6478" w:type="dxa"/>
            <w:vAlign w:val="center"/>
          </w:tcPr>
          <w:p w14:paraId="1879005F">
            <w:pPr>
              <w:spacing w:line="240" w:lineRule="exact"/>
              <w:rPr>
                <w:rFonts w:ascii="宋体" w:hAnsi="宋体"/>
                <w:szCs w:val="21"/>
              </w:rPr>
            </w:pPr>
            <w:r>
              <w:rPr>
                <w:rFonts w:hint="eastAsia" w:ascii="宋体" w:hAnsi="宋体"/>
                <w:szCs w:val="21"/>
              </w:rPr>
              <w:t>安全生产以预防为主，从源头抓起，从制度层面到每一个作业环节，杜绝安全隐患源，从领导到员工人人关心安全，抵制不安全行为，杜绝安全事故发生。同时做到突发事件应急预案，实现事故为零。</w:t>
            </w:r>
          </w:p>
        </w:tc>
      </w:tr>
      <w:tr w14:paraId="497C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217" w:type="dxa"/>
            <w:shd w:val="clear" w:color="auto" w:fill="D7D7D7"/>
            <w:vAlign w:val="center"/>
          </w:tcPr>
          <w:p w14:paraId="7F906D6A">
            <w:pPr>
              <w:spacing w:line="240" w:lineRule="exact"/>
              <w:jc w:val="center"/>
              <w:rPr>
                <w:rFonts w:ascii="宋体" w:hAnsi="宋体"/>
                <w:b/>
                <w:bCs/>
                <w:szCs w:val="21"/>
              </w:rPr>
            </w:pPr>
            <w:r>
              <w:rPr>
                <w:rFonts w:hint="eastAsia" w:ascii="宋体" w:hAnsi="宋体"/>
                <w:b/>
                <w:bCs/>
                <w:szCs w:val="21"/>
              </w:rPr>
              <w:t>公共</w:t>
            </w:r>
          </w:p>
          <w:p w14:paraId="62C27C9C">
            <w:pPr>
              <w:spacing w:line="240" w:lineRule="exact"/>
              <w:jc w:val="center"/>
              <w:rPr>
                <w:rFonts w:ascii="宋体" w:hAnsi="宋体"/>
                <w:b/>
                <w:bCs/>
                <w:szCs w:val="21"/>
              </w:rPr>
            </w:pPr>
            <w:r>
              <w:rPr>
                <w:rFonts w:hint="eastAsia" w:ascii="宋体" w:hAnsi="宋体"/>
                <w:b/>
                <w:bCs/>
                <w:szCs w:val="21"/>
              </w:rPr>
              <w:t>卫生</w:t>
            </w:r>
          </w:p>
        </w:tc>
        <w:tc>
          <w:tcPr>
            <w:tcW w:w="1824" w:type="dxa"/>
            <w:vAlign w:val="center"/>
          </w:tcPr>
          <w:p w14:paraId="5A334550">
            <w:pPr>
              <w:spacing w:line="240" w:lineRule="exact"/>
              <w:rPr>
                <w:rFonts w:ascii="宋体" w:hAnsi="宋体"/>
                <w:szCs w:val="21"/>
              </w:rPr>
            </w:pPr>
            <w:r>
              <w:rPr>
                <w:rFonts w:hint="eastAsia" w:ascii="宋体" w:hAnsi="宋体"/>
                <w:szCs w:val="21"/>
              </w:rPr>
              <w:t>生活垃圾、固废等会影响员工健康与环境</w:t>
            </w:r>
          </w:p>
        </w:tc>
        <w:tc>
          <w:tcPr>
            <w:tcW w:w="6478" w:type="dxa"/>
            <w:vAlign w:val="center"/>
          </w:tcPr>
          <w:p w14:paraId="7BF6E354">
            <w:pPr>
              <w:spacing w:line="240" w:lineRule="exact"/>
              <w:rPr>
                <w:rFonts w:ascii="宋体" w:hAnsi="宋体"/>
                <w:szCs w:val="21"/>
              </w:rPr>
            </w:pPr>
            <w:r>
              <w:rPr>
                <w:rFonts w:hint="eastAsia" w:ascii="宋体" w:hAnsi="宋体"/>
                <w:szCs w:val="21"/>
              </w:rPr>
              <w:t>推行自查自纠为主，环境卫生无死角，生活垃圾废弃物分类存放，HSE检查做到每天有检查、当天整改有提高，奖惩及时兑现；社会监督为辅，自觉接受社会监督，定期听取周边社区、政府部门意见，不断改进提高。</w:t>
            </w:r>
          </w:p>
        </w:tc>
      </w:tr>
    </w:tbl>
    <w:p w14:paraId="5564FE9D">
      <w:pPr>
        <w:spacing w:line="360" w:lineRule="auto"/>
        <w:ind w:firstLine="480" w:firstLineChars="200"/>
        <w:rPr>
          <w:rFonts w:ascii="宋体" w:hAnsi="宋体"/>
          <w:b/>
          <w:sz w:val="24"/>
        </w:rPr>
      </w:pPr>
      <w:r>
        <w:rPr>
          <w:rFonts w:hint="eastAsia" w:ascii="宋体" w:hAnsi="宋体"/>
          <w:b/>
          <w:sz w:val="24"/>
        </w:rPr>
        <w:t>(3)识别和评估相关风险，在合法合规的基础上持续提升</w:t>
      </w:r>
    </w:p>
    <w:p w14:paraId="1E88ABAC">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常州常欣起重物联科技有限公司高层将法律、法规作为必须条件和最低要求的同时，深刻认识到肩负的社会责任的意义，在识别和评估相关风险的基础上，建立遵循法律法规要求和应对相关风险的关键过程及绩效指标，制定预防、控制程序和改进方案，在持续改进的基础上达到更高水平。</w:t>
      </w:r>
    </w:p>
    <w:p w14:paraId="7C2EA8C4">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以节能减排、保护环境为例：常州常欣起重物联科技有限公司在严格执行“环境影响评价”、严格执行各项环境保护法律法规，落实环保减排、节能降耗的有关政策。</w:t>
      </w:r>
    </w:p>
    <w:p w14:paraId="250D6BC1">
      <w:pPr>
        <w:autoSpaceDN w:val="0"/>
        <w:spacing w:before="150" w:after="15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公司专门成立了HSE办公室，落实HSE职业健康、安全、环境考核奖惩制度，建立各车间能耗定额指标考核体系，大力开展节能、环保培训和宣传教育，瞄准国际一流企业标准，投入专项资金用于环境治理、新产品研发和新工艺改进工作。</w:t>
      </w:r>
    </w:p>
    <w:p w14:paraId="6200435C">
      <w:pPr>
        <w:spacing w:line="360" w:lineRule="auto"/>
        <w:ind w:firstLine="480" w:firstLineChars="200"/>
        <w:rPr>
          <w:rFonts w:hint="eastAsia" w:ascii="宋体" w:hAnsi="宋体"/>
          <w:sz w:val="24"/>
        </w:rPr>
      </w:pPr>
    </w:p>
    <w:p w14:paraId="1D07F19C">
      <w:pPr>
        <w:spacing w:line="360" w:lineRule="auto"/>
        <w:outlineLvl w:val="1"/>
        <w:rPr>
          <w:rFonts w:ascii="宋体" w:hAnsi="宋体"/>
          <w:b/>
          <w:sz w:val="24"/>
        </w:rPr>
      </w:pPr>
      <w:bookmarkStart w:id="105" w:name="_Toc17196"/>
      <w:bookmarkStart w:id="106" w:name="_Toc522175454"/>
      <w:bookmarkStart w:id="107" w:name="_Toc4612"/>
      <w:bookmarkStart w:id="108" w:name="_Toc3838"/>
      <w:bookmarkStart w:id="109" w:name="_Toc7758"/>
      <w:r>
        <w:rPr>
          <w:rFonts w:hint="eastAsia" w:ascii="宋体" w:hAnsi="宋体"/>
          <w:b/>
          <w:sz w:val="24"/>
        </w:rPr>
        <w:t>2、道德行为</w:t>
      </w:r>
      <w:bookmarkEnd w:id="105"/>
      <w:bookmarkEnd w:id="106"/>
      <w:bookmarkEnd w:id="107"/>
      <w:bookmarkEnd w:id="108"/>
      <w:bookmarkEnd w:id="109"/>
    </w:p>
    <w:p w14:paraId="54CCC111">
      <w:pPr>
        <w:spacing w:line="360" w:lineRule="auto"/>
        <w:ind w:firstLine="480" w:firstLineChars="200"/>
        <w:rPr>
          <w:rFonts w:ascii="宋体" w:hAnsi="宋体"/>
          <w:sz w:val="24"/>
        </w:rPr>
      </w:pPr>
      <w:r>
        <w:rPr>
          <w:rFonts w:hint="eastAsia" w:ascii="宋体" w:hAnsi="宋体"/>
          <w:sz w:val="24"/>
        </w:rPr>
        <w:t>企业道德行为是组织在决策、行动以及与利益相关方间交往活动中，遵守道德准则和职业操守的表现。从高层领导到一般员工都应遵守道德规范，并影响组织的利益相关方。</w:t>
      </w:r>
    </w:p>
    <w:p w14:paraId="4E178962">
      <w:pPr>
        <w:spacing w:line="360" w:lineRule="auto"/>
        <w:ind w:firstLine="480" w:firstLineChars="200"/>
        <w:rPr>
          <w:rFonts w:ascii="宋体" w:hAnsi="宋体"/>
          <w:sz w:val="24"/>
        </w:rPr>
      </w:pPr>
      <w:r>
        <w:rPr>
          <w:rFonts w:hint="eastAsia" w:ascii="宋体" w:hAnsi="宋体" w:eastAsia="宋体"/>
          <w:sz w:val="24"/>
          <w:lang w:eastAsia="zh-CN"/>
        </w:rPr>
        <w:t>常州常欣起重物联科技有限公司</w:t>
      </w:r>
      <w:r>
        <w:rPr>
          <w:rFonts w:hint="eastAsia" w:ascii="宋体" w:hAnsi="宋体"/>
          <w:sz w:val="24"/>
        </w:rPr>
        <w:t>高层领导从自身做起，秉承“激情、创新、严谨、诚信、高效”的企业精神，在公司内外形成了良好的道德行为规范。</w:t>
      </w:r>
    </w:p>
    <w:p w14:paraId="77FE5721">
      <w:pPr>
        <w:spacing w:line="360" w:lineRule="auto"/>
        <w:ind w:firstLine="480" w:firstLineChars="200"/>
        <w:rPr>
          <w:rFonts w:ascii="宋体" w:hAnsi="宋体"/>
          <w:b/>
          <w:sz w:val="24"/>
        </w:rPr>
      </w:pPr>
      <w:r>
        <w:rPr>
          <w:rFonts w:hint="eastAsia" w:ascii="宋体" w:hAnsi="宋体"/>
          <w:b/>
          <w:sz w:val="24"/>
        </w:rPr>
        <w:t>(1)营造诚信守法经营环境</w:t>
      </w:r>
    </w:p>
    <w:p w14:paraId="736187B8">
      <w:pPr>
        <w:spacing w:line="360" w:lineRule="auto"/>
        <w:ind w:firstLine="480" w:firstLineChars="200"/>
        <w:rPr>
          <w:rFonts w:ascii="宋体" w:hAnsi="宋体"/>
          <w:sz w:val="24"/>
        </w:rPr>
      </w:pPr>
      <w:r>
        <w:rPr>
          <w:rFonts w:hint="eastAsia" w:ascii="宋体" w:hAnsi="宋体"/>
          <w:sz w:val="24"/>
        </w:rPr>
        <w:t>诚信作为</w:t>
      </w:r>
      <w:r>
        <w:rPr>
          <w:rFonts w:hint="eastAsia" w:ascii="宋体" w:hAnsi="宋体" w:eastAsia="宋体"/>
          <w:sz w:val="24"/>
          <w:lang w:eastAsia="zh-CN"/>
        </w:rPr>
        <w:t>常州常欣起重物联科技有限公司</w:t>
      </w:r>
      <w:r>
        <w:rPr>
          <w:rFonts w:hint="eastAsia" w:ascii="宋体" w:hAnsi="宋体"/>
          <w:sz w:val="24"/>
        </w:rPr>
        <w:t>公司组织道德行为中的基本准则。高层领导率先垂范，在整个组织中倡导诚信、践行诚信。</w:t>
      </w:r>
    </w:p>
    <w:p w14:paraId="364F7894">
      <w:pPr>
        <w:spacing w:line="360" w:lineRule="auto"/>
        <w:ind w:firstLine="480" w:firstLineChars="200"/>
        <w:rPr>
          <w:rFonts w:ascii="宋体" w:hAnsi="宋体"/>
          <w:sz w:val="24"/>
        </w:rPr>
      </w:pPr>
      <w:r>
        <w:rPr>
          <w:rFonts w:hint="eastAsia" w:ascii="宋体" w:hAnsi="宋体"/>
          <w:b/>
          <w:sz w:val="24"/>
        </w:rPr>
        <w:t>员工诚信守法的承诺：</w:t>
      </w:r>
      <w:r>
        <w:rPr>
          <w:rFonts w:hint="eastAsia" w:ascii="宋体" w:hAnsi="宋体"/>
          <w:sz w:val="24"/>
        </w:rPr>
        <w:t>企业与所有员工签订劳动合同的同时，对员工的职业道德、诚信守法、廉洁自律、保密等进行了严格规定。</w:t>
      </w:r>
    </w:p>
    <w:p w14:paraId="21D19125">
      <w:pPr>
        <w:spacing w:line="360" w:lineRule="auto"/>
        <w:ind w:firstLine="480" w:firstLineChars="200"/>
        <w:rPr>
          <w:rFonts w:ascii="宋体" w:hAnsi="宋体"/>
          <w:sz w:val="24"/>
        </w:rPr>
      </w:pPr>
      <w:r>
        <w:rPr>
          <w:rFonts w:hint="eastAsia" w:ascii="宋体" w:hAnsi="宋体"/>
          <w:b/>
          <w:sz w:val="24"/>
        </w:rPr>
        <w:t>供应商管理：</w:t>
      </w:r>
      <w:r>
        <w:rPr>
          <w:rFonts w:hint="eastAsia" w:ascii="宋体" w:hAnsi="宋体"/>
          <w:sz w:val="24"/>
        </w:rPr>
        <w:t>公司在与供应商签订格式条款采购合同时，本着公平公正的原则，充分保障供应商和公司的合理利益。公司建立了严格的供应商评价制度，对新供应商的资质、</w:t>
      </w:r>
      <w:bookmarkStart w:id="115" w:name="_GoBack"/>
      <w:bookmarkEnd w:id="115"/>
      <w:r>
        <w:rPr>
          <w:rFonts w:hint="eastAsia" w:ascii="宋体" w:hAnsi="宋体"/>
          <w:sz w:val="24"/>
        </w:rPr>
        <w:t>诚信记录、质量等进行严格的审查。每年对所有供应商的诚信情况进行评估，对出现诚信问题的供应商予以淘汰或处罚。</w:t>
      </w:r>
    </w:p>
    <w:p w14:paraId="7FBA07F0">
      <w:pPr>
        <w:spacing w:line="360" w:lineRule="auto"/>
        <w:ind w:firstLine="480" w:firstLineChars="200"/>
        <w:rPr>
          <w:rFonts w:ascii="宋体" w:hAnsi="宋体"/>
          <w:sz w:val="24"/>
        </w:rPr>
      </w:pPr>
      <w:r>
        <w:rPr>
          <w:rFonts w:hint="eastAsia" w:ascii="宋体" w:hAnsi="宋体"/>
          <w:b/>
          <w:sz w:val="24"/>
        </w:rPr>
        <w:t>客户合同管理：</w:t>
      </w:r>
      <w:r>
        <w:rPr>
          <w:rFonts w:hint="eastAsia" w:ascii="宋体" w:hAnsi="宋体"/>
          <w:sz w:val="24"/>
        </w:rPr>
        <w:t>公司对客户以诚信、公平、守法为原则，制订并认真执行《采购合同流程》，对涉及的商务、技术等相关条款由相关部门进行相应的技术和商务评审，并由对口分管领导签批，确保公司和客户的利益不受损害。</w:t>
      </w:r>
    </w:p>
    <w:p w14:paraId="1ECF77AD">
      <w:pPr>
        <w:spacing w:line="360" w:lineRule="auto"/>
        <w:ind w:firstLine="480" w:firstLineChars="200"/>
        <w:rPr>
          <w:rFonts w:ascii="宋体" w:hAnsi="宋体"/>
          <w:b/>
          <w:sz w:val="24"/>
        </w:rPr>
      </w:pPr>
      <w:r>
        <w:rPr>
          <w:rFonts w:hint="eastAsia" w:ascii="宋体" w:hAnsi="宋体"/>
          <w:b/>
          <w:sz w:val="24"/>
        </w:rPr>
        <w:t>(2)道德规范的监测</w:t>
      </w:r>
    </w:p>
    <w:p w14:paraId="182EFA7F">
      <w:pPr>
        <w:spacing w:line="360" w:lineRule="auto"/>
        <w:ind w:firstLine="480" w:firstLineChars="200"/>
        <w:rPr>
          <w:rFonts w:ascii="宋体" w:hAnsi="宋体"/>
          <w:sz w:val="24"/>
        </w:rPr>
      </w:pPr>
      <w:r>
        <w:rPr>
          <w:rFonts w:hint="eastAsia" w:ascii="宋体" w:hAnsi="宋体"/>
          <w:sz w:val="24"/>
        </w:rPr>
        <w:t>企业日常运营中的道德行为主要表现为：企业内部对投资方、领导及员工负责；在企业间对供应商及合作伙伴负责；企业外部对客户、政府和社会负责。公司的道德行为融入了公司运营的每个环节，最终凝聚为公司的企业文化。</w:t>
      </w:r>
    </w:p>
    <w:p w14:paraId="5D4C9B06">
      <w:pPr>
        <w:spacing w:line="360" w:lineRule="auto"/>
        <w:ind w:firstLine="480" w:firstLineChars="200"/>
        <w:rPr>
          <w:rFonts w:ascii="宋体" w:hAnsi="宋体"/>
          <w:sz w:val="24"/>
        </w:rPr>
      </w:pPr>
      <w:r>
        <w:rPr>
          <w:rFonts w:hint="eastAsia" w:ascii="宋体" w:hAnsi="宋体" w:eastAsia="宋体"/>
          <w:sz w:val="24"/>
          <w:lang w:eastAsia="zh-CN"/>
        </w:rPr>
        <w:t>常州常欣起重物联科技有限公司</w:t>
      </w:r>
      <w:r>
        <w:rPr>
          <w:rFonts w:hint="eastAsia" w:ascii="宋体" w:hAnsi="宋体"/>
          <w:sz w:val="24"/>
        </w:rPr>
        <w:t>倡导诚信经营，在质量安全、节能环保、纳税等方面，严格遵守法律法规、行业标准以及客户要求等道德规范，主动接受员工、投资人、客户、社会各方的监督、监测，经得起时间与各方的考量。</w:t>
      </w:r>
    </w:p>
    <w:p w14:paraId="3126F092">
      <w:pPr>
        <w:spacing w:line="360" w:lineRule="auto"/>
        <w:outlineLvl w:val="1"/>
        <w:rPr>
          <w:rFonts w:hint="eastAsia" w:ascii="宋体" w:hAnsi="宋体"/>
          <w:b/>
          <w:sz w:val="24"/>
        </w:rPr>
      </w:pPr>
      <w:bookmarkStart w:id="110" w:name="_Toc528"/>
      <w:bookmarkStart w:id="111" w:name="_Toc10942"/>
      <w:bookmarkStart w:id="112" w:name="_Toc13822"/>
      <w:bookmarkStart w:id="113" w:name="_Toc522175455"/>
      <w:bookmarkStart w:id="114" w:name="_Toc2164"/>
      <w:r>
        <w:rPr>
          <w:rFonts w:hint="eastAsia" w:ascii="宋体" w:hAnsi="宋体"/>
          <w:b/>
          <w:sz w:val="24"/>
          <w:lang w:val="en-US" w:eastAsia="zh-CN"/>
        </w:rPr>
        <w:t>3、</w:t>
      </w:r>
      <w:r>
        <w:rPr>
          <w:rFonts w:hint="eastAsia" w:ascii="宋体" w:hAnsi="宋体"/>
          <w:b/>
          <w:sz w:val="24"/>
        </w:rPr>
        <w:t>自愿开展公益支持</w:t>
      </w:r>
      <w:bookmarkEnd w:id="110"/>
      <w:bookmarkEnd w:id="111"/>
      <w:bookmarkEnd w:id="112"/>
      <w:bookmarkEnd w:id="113"/>
      <w:bookmarkEnd w:id="114"/>
    </w:p>
    <w:p w14:paraId="1197CBA5">
      <w:pPr>
        <w:spacing w:line="360" w:lineRule="auto"/>
        <w:ind w:firstLine="480" w:firstLineChars="200"/>
        <w:rPr>
          <w:rFonts w:hint="eastAsia" w:ascii="宋体" w:hAnsi="宋体"/>
          <w:sz w:val="24"/>
        </w:rPr>
      </w:pPr>
      <w:r>
        <w:rPr>
          <w:rFonts w:hint="eastAsia" w:ascii="宋体" w:hAnsi="宋体"/>
          <w:sz w:val="24"/>
        </w:rPr>
        <w:t>公益支持是组织超越法规和道德承诺之外的社会责任，是组织在资源条件许可的条件下，提升在社会责任方面的成熟度，是成为卓越企业的表现机会和途径。</w:t>
      </w:r>
      <w:r>
        <w:rPr>
          <w:rFonts w:hint="eastAsia" w:ascii="宋体" w:hAnsi="宋体" w:eastAsia="宋体"/>
          <w:sz w:val="24"/>
          <w:lang w:eastAsia="zh-CN"/>
        </w:rPr>
        <w:t>常州常欣起重物联科技有限公司</w:t>
      </w:r>
      <w:r>
        <w:rPr>
          <w:rFonts w:hint="eastAsia" w:ascii="宋体" w:hAnsi="宋体"/>
          <w:sz w:val="24"/>
        </w:rPr>
        <w:t>在快速发展的同时，始终牢记回馈社会的责任，将爱心注入企业文化，用行动回馈社会。</w:t>
      </w:r>
      <w:r>
        <w:rPr>
          <w:rFonts w:hint="eastAsia" w:ascii="宋体" w:hAnsi="宋体"/>
          <w:sz w:val="24"/>
        </w:rPr>
        <w:br w:type="textWrapping"/>
      </w:r>
      <w:r>
        <w:rPr>
          <w:rFonts w:hint="eastAsia" w:ascii="宋体" w:hAnsi="宋体"/>
          <w:sz w:val="24"/>
          <w:lang w:val="en-US" w:eastAsia="zh-CN"/>
        </w:rPr>
        <w:t xml:space="preserve">    </w:t>
      </w:r>
      <w:r>
        <w:rPr>
          <w:rFonts w:hint="eastAsia" w:ascii="宋体" w:hAnsi="宋体"/>
          <w:sz w:val="24"/>
        </w:rPr>
        <w:t>在当今社会，企业的发展已不再仅仅局限于追求经济利益，积极履行社会责任同样成为衡量企业价值的重要标尺。我司始终秉持着这一理念，在自愿开展公益支持方面不遗余力，尤其是在聘用残疾人、为他们提供就业岗位上，展现出了强烈的社会担当。</w:t>
      </w:r>
    </w:p>
    <w:p w14:paraId="06A2C699">
      <w:pPr>
        <w:spacing w:line="360" w:lineRule="auto"/>
        <w:ind w:firstLine="480" w:firstLineChars="200"/>
        <w:rPr>
          <w:rFonts w:hint="eastAsia" w:ascii="宋体" w:hAnsi="宋体"/>
          <w:sz w:val="24"/>
        </w:rPr>
      </w:pPr>
      <w:r>
        <w:rPr>
          <w:rFonts w:hint="eastAsia" w:ascii="宋体" w:hAnsi="宋体"/>
          <w:sz w:val="24"/>
        </w:rPr>
        <w:t>残疾人作为社会中的特殊群体，在就业市场中往往面临着诸多困难和挑战。他们拥有着与健全人一样的工作热情和能力，却因身体上的障碍而难以获得公平的就业机会。我司深刻认识到这一问题的严重性，决定主动伸出援手，为残疾人创造更多的就业可能。</w:t>
      </w:r>
    </w:p>
    <w:p w14:paraId="5FEA8500">
      <w:pPr>
        <w:spacing w:line="360" w:lineRule="auto"/>
        <w:ind w:firstLine="480" w:firstLineChars="200"/>
        <w:rPr>
          <w:rFonts w:hint="eastAsia" w:ascii="宋体" w:hAnsi="宋体"/>
          <w:sz w:val="24"/>
        </w:rPr>
      </w:pPr>
      <w:r>
        <w:rPr>
          <w:rFonts w:hint="eastAsia" w:ascii="宋体" w:hAnsi="宋体"/>
          <w:sz w:val="24"/>
        </w:rPr>
        <w:t>自公司成立以来，我们就将聘用残疾人纳入了企业的人才招聘计划中。通过与当地残疾人就业服务机构合作，我们广泛收集残疾人求职者的信息，积极组织招聘会和面试活动，为他们提供了一个展示自我的平台。在招聘过程中，我们坚持公平、公正、公开的原则，不歧视任何一位残疾人求职者，根据他们的专业技能和身体状况，为他们安排合适的工作岗位。</w:t>
      </w:r>
    </w:p>
    <w:p w14:paraId="2C7688BA">
      <w:pPr>
        <w:spacing w:line="360" w:lineRule="auto"/>
        <w:ind w:firstLine="480" w:firstLineChars="200"/>
        <w:rPr>
          <w:rFonts w:hint="eastAsia" w:ascii="宋体" w:hAnsi="宋体"/>
          <w:sz w:val="24"/>
        </w:rPr>
      </w:pPr>
      <w:r>
        <w:rPr>
          <w:rFonts w:hint="eastAsia" w:ascii="宋体" w:hAnsi="宋体"/>
          <w:sz w:val="24"/>
        </w:rPr>
        <w:t>为了让残疾人能够更好地适应工作环境，我们还为他们提供了一系列的培训和支持。针对不同岗位的需求，我们制定了个性化的培训方案，帮助他们提升专业技能和工作能力。同时，我们还为他们配备了必要的辅助设备和设施，确保他们能够顺利完成工作任务。在工作过程中，我们注重与残疾人员工的沟通和交流，及时了解他们的需求和困难，并给予他们必要的帮助和支持。</w:t>
      </w:r>
    </w:p>
    <w:p w14:paraId="79D76762">
      <w:pPr>
        <w:spacing w:line="360" w:lineRule="auto"/>
        <w:ind w:firstLine="480" w:firstLineChars="200"/>
        <w:rPr>
          <w:rFonts w:hint="eastAsia" w:ascii="宋体" w:hAnsi="宋体"/>
          <w:sz w:val="24"/>
        </w:rPr>
      </w:pPr>
      <w:r>
        <w:rPr>
          <w:rFonts w:hint="eastAsia" w:ascii="宋体" w:hAnsi="宋体"/>
          <w:sz w:val="24"/>
        </w:rPr>
        <w:t>除了为残疾人提供就业机会和培训支持外，我们还积极营造一个包容、平等、和谐的工作氛围。我们鼓励全体员工尊重和关爱残疾人，消除对他们的偏见和歧视。通过组织各种团队活动和文化交流活动，我们促进了残疾人员工与其他员工之间的相互了解和信任，增强了团队的凝聚力和战斗力。</w:t>
      </w:r>
    </w:p>
    <w:p w14:paraId="096F4795">
      <w:pPr>
        <w:spacing w:line="360" w:lineRule="auto"/>
        <w:ind w:firstLine="480" w:firstLineChars="200"/>
        <w:rPr>
          <w:rFonts w:hint="eastAsia" w:ascii="宋体" w:hAnsi="宋体"/>
          <w:sz w:val="24"/>
        </w:rPr>
      </w:pPr>
      <w:r>
        <w:rPr>
          <w:rFonts w:hint="eastAsia" w:ascii="宋体" w:hAnsi="宋体"/>
          <w:sz w:val="24"/>
        </w:rPr>
        <w:t>公司聘用残疾人不仅是一种公益行为，更是一种企业发展的战略选择。通过聘用残疾人，我们为企业注入了新的活力和创造力。残疾人员工们以他们坚韧不拔的毅力和积极向上的态度，为公司的发展做出了重要贡献。同时，我们的这一举措也赢得了社会各界的广泛赞誉和认可，提升了公司的品牌形象和社会声誉。</w:t>
      </w:r>
    </w:p>
    <w:p w14:paraId="0914A3AA">
      <w:pPr>
        <w:spacing w:line="360" w:lineRule="auto"/>
        <w:ind w:firstLine="480" w:firstLineChars="200"/>
        <w:rPr>
          <w:rFonts w:hint="eastAsia" w:ascii="宋体" w:hAnsi="宋体"/>
          <w:sz w:val="24"/>
        </w:rPr>
      </w:pPr>
      <w:r>
        <w:rPr>
          <w:rFonts w:hint="eastAsia" w:ascii="宋体" w:hAnsi="宋体"/>
          <w:sz w:val="24"/>
        </w:rPr>
        <w:t>在未来的发展中，我们将继续坚持公益理念，不断加大对残疾人就业的支持力度。我们将进一步拓展就业岗位，提高残疾人员工的福利待遇和职业发展空间。同时，我们还将积极与社会各界合作，共同推动残疾人就业事业的发展，为构建一个更加公平、和谐、美好的社会贡献我们的力量。</w:t>
      </w:r>
    </w:p>
    <w:p w14:paraId="6CF0EFF4">
      <w:pPr>
        <w:spacing w:line="360" w:lineRule="auto"/>
        <w:ind w:firstLine="420" w:firstLineChars="200"/>
        <w:rPr>
          <w:rFonts w:hint="eastAsia" w:ascii="宋体" w:hAnsi="宋体"/>
          <w:sz w:val="24"/>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4095115</wp:posOffset>
            </wp:positionH>
            <wp:positionV relativeFrom="paragraph">
              <wp:posOffset>873760</wp:posOffset>
            </wp:positionV>
            <wp:extent cx="1795780" cy="1721485"/>
            <wp:effectExtent l="0" t="0" r="13970" b="12065"/>
            <wp:wrapNone/>
            <wp:docPr id="2" name="图片 2" descr="微信图片_2023092814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28145318"/>
                    <pic:cNvPicPr>
                      <a:picLocks noChangeAspect="1"/>
                    </pic:cNvPicPr>
                  </pic:nvPicPr>
                  <pic:blipFill>
                    <a:blip r:embed="rId7"/>
                    <a:stretch>
                      <a:fillRect/>
                    </a:stretch>
                  </pic:blipFill>
                  <pic:spPr>
                    <a:xfrm>
                      <a:off x="0" y="0"/>
                      <a:ext cx="1795780" cy="1721485"/>
                    </a:xfrm>
                    <a:prstGeom prst="rect">
                      <a:avLst/>
                    </a:prstGeom>
                  </pic:spPr>
                </pic:pic>
              </a:graphicData>
            </a:graphic>
          </wp:anchor>
        </w:drawing>
      </w:r>
      <w:r>
        <w:rPr>
          <w:rFonts w:hint="eastAsia" w:ascii="宋体" w:hAnsi="宋体"/>
          <w:sz w:val="24"/>
        </w:rPr>
        <w:t>总之，公司在聘用残疾人、为他们提供就业岗位方面所做的努力，不仅体现了我们对社会责任的担当，也为企业的可持续发展奠定了坚实的基础。我们相信，在全社会的共同努力下，残疾人一定能够在就业市场中实现自己的人生价值，与我们一起共创美好的未来。</w:t>
      </w:r>
    </w:p>
    <w:p w14:paraId="2DE75578">
      <w:pPr>
        <w:pStyle w:val="18"/>
        <w:spacing w:line="360" w:lineRule="auto"/>
        <w:ind w:left="644" w:firstLine="0" w:firstLineChars="0"/>
        <w:rPr>
          <w:rFonts w:ascii="宋体" w:hAnsi="宋体" w:cs="宋体"/>
          <w:sz w:val="24"/>
        </w:rPr>
      </w:pPr>
    </w:p>
    <w:p w14:paraId="1EC6B0D1">
      <w:pPr>
        <w:pStyle w:val="18"/>
        <w:spacing w:line="360" w:lineRule="auto"/>
        <w:ind w:left="644" w:firstLine="0" w:firstLineChars="0"/>
        <w:jc w:val="right"/>
        <w:rPr>
          <w:rFonts w:hint="eastAsia" w:ascii="宋体" w:hAnsi="宋体" w:eastAsia="宋体" w:cs="宋体"/>
          <w:b/>
          <w:sz w:val="24"/>
          <w:lang w:eastAsia="zh-CN"/>
        </w:rPr>
      </w:pPr>
      <w:r>
        <w:rPr>
          <w:rFonts w:hint="eastAsia" w:ascii="宋体" w:hAnsi="宋体" w:eastAsia="宋体" w:cs="宋体"/>
          <w:b/>
          <w:sz w:val="24"/>
          <w:lang w:eastAsia="zh-CN"/>
        </w:rPr>
        <w:t>常州常欣起重物联科技有限公司</w:t>
      </w:r>
    </w:p>
    <w:p w14:paraId="4779FBB2">
      <w:pPr>
        <w:pStyle w:val="18"/>
        <w:spacing w:line="360" w:lineRule="auto"/>
        <w:ind w:left="644" w:firstLine="0" w:firstLineChars="0"/>
        <w:jc w:val="center"/>
        <w:rPr>
          <w:rFonts w:ascii="宋体" w:hAnsi="宋体"/>
          <w:b/>
          <w:szCs w:val="21"/>
        </w:rPr>
      </w:pPr>
      <w:r>
        <w:rPr>
          <w:rFonts w:hint="eastAsia" w:ascii="宋体" w:hAnsi="宋体" w:eastAsia="宋体" w:cs="宋体"/>
          <w:b/>
          <w:sz w:val="24"/>
          <w:lang w:val="en-US" w:eastAsia="zh-CN"/>
        </w:rPr>
        <w:t xml:space="preserve">                                            </w:t>
      </w:r>
      <w:r>
        <w:rPr>
          <w:rFonts w:hint="eastAsia" w:ascii="宋体" w:hAnsi="宋体" w:cs="宋体"/>
          <w:b/>
          <w:sz w:val="24"/>
        </w:rPr>
        <w:t>20</w:t>
      </w:r>
      <w:r>
        <w:rPr>
          <w:rFonts w:ascii="宋体" w:hAnsi="宋体" w:cs="宋体"/>
          <w:b/>
          <w:sz w:val="24"/>
        </w:rPr>
        <w:t>2</w:t>
      </w:r>
      <w:r>
        <w:rPr>
          <w:rFonts w:hint="eastAsia" w:ascii="宋体" w:hAnsi="宋体" w:eastAsia="宋体" w:cs="宋体"/>
          <w:b/>
          <w:sz w:val="24"/>
          <w:lang w:val="en-US" w:eastAsia="zh-CN"/>
        </w:rPr>
        <w:t>5</w:t>
      </w:r>
      <w:r>
        <w:rPr>
          <w:rFonts w:hint="eastAsia" w:ascii="宋体" w:hAnsi="宋体" w:cs="宋体"/>
          <w:b/>
          <w:sz w:val="24"/>
        </w:rPr>
        <w:t>年</w:t>
      </w:r>
      <w:r>
        <w:rPr>
          <w:rFonts w:hint="eastAsia" w:ascii="宋体" w:hAnsi="宋体" w:eastAsia="宋体" w:cs="宋体"/>
          <w:b/>
          <w:sz w:val="24"/>
          <w:lang w:val="en-US" w:eastAsia="zh-CN"/>
        </w:rPr>
        <w:t>3</w:t>
      </w:r>
      <w:r>
        <w:rPr>
          <w:rFonts w:hint="eastAsia" w:ascii="宋体" w:hAnsi="宋体" w:cs="宋体"/>
          <w:b/>
          <w:sz w:val="24"/>
        </w:rPr>
        <w:t>月15日</w:t>
      </w:r>
    </w:p>
    <w:p w14:paraId="226F05B9">
      <w:pPr>
        <w:keepNext w:val="0"/>
        <w:keepLines w:val="0"/>
        <w:pageBreakBefore w:val="0"/>
        <w:widowControl/>
        <w:kinsoku/>
        <w:wordWrap/>
        <w:overflowPunct/>
        <w:topLinePunct w:val="0"/>
        <w:autoSpaceDE w:val="0"/>
        <w:autoSpaceDN w:val="0"/>
        <w:bidi w:val="0"/>
        <w:adjustRightInd w:val="0"/>
        <w:snapToGrid w:val="0"/>
        <w:spacing w:before="2" w:line="219" w:lineRule="auto"/>
        <w:ind w:right="20"/>
        <w:jc w:val="right"/>
        <w:textAlignment w:val="baseline"/>
        <w:rPr>
          <w:rFonts w:ascii="宋体" w:hAnsi="宋体" w:eastAsia="宋体" w:cs="宋体"/>
          <w:sz w:val="28"/>
          <w:szCs w:val="28"/>
        </w:rPr>
      </w:pPr>
    </w:p>
    <w:sectPr>
      <w:pgSz w:w="11906" w:h="16839"/>
      <w:pgMar w:top="1431" w:right="1191" w:bottom="1417" w:left="119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JjN2IyNjdmZTA0ODdkYzdhZTQxMjc3MTY1ODI1ZjMifQ=="/>
  </w:docVars>
  <w:rsids>
    <w:rsidRoot w:val="00000000"/>
    <w:rsid w:val="006C6F44"/>
    <w:rsid w:val="02181DBD"/>
    <w:rsid w:val="069939E2"/>
    <w:rsid w:val="09544BDC"/>
    <w:rsid w:val="0A604CA7"/>
    <w:rsid w:val="0F7F62E0"/>
    <w:rsid w:val="104614F2"/>
    <w:rsid w:val="12617F82"/>
    <w:rsid w:val="1DF919B7"/>
    <w:rsid w:val="2B917D9C"/>
    <w:rsid w:val="2FC219B2"/>
    <w:rsid w:val="34FD39D6"/>
    <w:rsid w:val="35602D37"/>
    <w:rsid w:val="434F77FF"/>
    <w:rsid w:val="44D95ECC"/>
    <w:rsid w:val="463A3DC0"/>
    <w:rsid w:val="48CC2994"/>
    <w:rsid w:val="48D76111"/>
    <w:rsid w:val="4AA91F1F"/>
    <w:rsid w:val="4CD73678"/>
    <w:rsid w:val="4EB26E94"/>
    <w:rsid w:val="513569E9"/>
    <w:rsid w:val="521165C2"/>
    <w:rsid w:val="57C63BF5"/>
    <w:rsid w:val="59AA3432"/>
    <w:rsid w:val="5DB92FDA"/>
    <w:rsid w:val="60315681"/>
    <w:rsid w:val="643F1CC1"/>
    <w:rsid w:val="65067B3B"/>
    <w:rsid w:val="6F3F6EE7"/>
    <w:rsid w:val="723E2669"/>
    <w:rsid w:val="74D66B9F"/>
    <w:rsid w:val="75610047"/>
    <w:rsid w:val="7BC60E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semiHidden/>
    <w:qFormat/>
    <w:uiPriority w:val="0"/>
    <w:rPr>
      <w:rFonts w:ascii="Arial" w:hAnsi="Arial" w:eastAsia="Arial" w:cs="Arial"/>
      <w:sz w:val="21"/>
      <w:szCs w:val="21"/>
      <w:lang w:val="en-US" w:eastAsia="en-US" w:bidi="ar-SA"/>
    </w:rPr>
  </w:style>
  <w:style w:type="paragraph" w:styleId="5">
    <w:name w:val="Title"/>
    <w:basedOn w:val="1"/>
    <w:next w:val="1"/>
    <w:autoRedefine/>
    <w:qFormat/>
    <w:uiPriority w:val="10"/>
    <w:pPr>
      <w:spacing w:before="240" w:after="60"/>
      <w:outlineLvl w:val="1"/>
    </w:pPr>
    <w:rPr>
      <w:b/>
      <w:bCs/>
      <w:kern w:val="28"/>
      <w:szCs w:val="32"/>
    </w:rPr>
  </w:style>
  <w:style w:type="paragraph" w:styleId="6">
    <w:name w:val="toc 3"/>
    <w:basedOn w:val="1"/>
    <w:next w:val="1"/>
    <w:qFormat/>
    <w:uiPriority w:val="0"/>
    <w:pPr>
      <w:ind w:left="840" w:leftChars="400"/>
    </w:pPr>
  </w:style>
  <w:style w:type="paragraph" w:styleId="7">
    <w:name w:val="toc 1"/>
    <w:basedOn w:val="1"/>
    <w:next w:val="1"/>
    <w:autoRedefine/>
    <w:qFormat/>
    <w:uiPriority w:val="0"/>
    <w:rPr>
      <w:rFonts w:ascii="方正仿宋_GBK" w:hAnsi="方正仿宋_GBK" w:eastAsia="仿宋" w:cs="Times New Roman"/>
      <w:sz w:val="24"/>
      <w:szCs w:val="22"/>
    </w:rPr>
  </w:style>
  <w:style w:type="paragraph" w:styleId="8">
    <w:name w:val="toc 2"/>
    <w:basedOn w:val="1"/>
    <w:next w:val="1"/>
    <w:autoRedefine/>
    <w:qFormat/>
    <w:uiPriority w:val="0"/>
    <w:pPr>
      <w:ind w:left="420" w:leftChars="200"/>
    </w:pPr>
    <w:rPr>
      <w:rFonts w:ascii="方正仿宋_GBK" w:hAnsi="方正仿宋_GBK" w:eastAsia="仿宋" w:cs="Times New Roman"/>
      <w:sz w:val="24"/>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8"/>
      <w:szCs w:val="28"/>
      <w:lang w:val="en-US" w:eastAsia="en-US" w:bidi="ar-SA"/>
    </w:rPr>
  </w:style>
  <w:style w:type="paragraph" w:customStyle="1" w:styleId="15">
    <w:name w:val="WPSOffice手动目录 1"/>
    <w:autoRedefine/>
    <w:qFormat/>
    <w:uiPriority w:val="0"/>
    <w:pPr>
      <w:ind w:leftChars="0"/>
    </w:pPr>
    <w:rPr>
      <w:rFonts w:ascii="Arial" w:hAnsi="Arial" w:eastAsia="Arial" w:cs="Arial"/>
      <w:sz w:val="20"/>
      <w:szCs w:val="20"/>
    </w:rPr>
  </w:style>
  <w:style w:type="paragraph" w:customStyle="1" w:styleId="16">
    <w:name w:val="WPSOffice手动目录 2"/>
    <w:autoRedefine/>
    <w:qFormat/>
    <w:uiPriority w:val="0"/>
    <w:pPr>
      <w:ind w:leftChars="200"/>
    </w:pPr>
    <w:rPr>
      <w:rFonts w:ascii="Arial" w:hAnsi="Arial" w:eastAsia="Arial" w:cs="Arial"/>
      <w:sz w:val="20"/>
      <w:szCs w:val="20"/>
    </w:rPr>
  </w:style>
  <w:style w:type="paragraph" w:customStyle="1" w:styleId="17">
    <w:name w:val="WPSOffice手动目录 3"/>
    <w:autoRedefine/>
    <w:qFormat/>
    <w:uiPriority w:val="0"/>
    <w:pPr>
      <w:ind w:leftChars="400"/>
    </w:pPr>
    <w:rPr>
      <w:rFonts w:ascii="Arial" w:hAnsi="Arial" w:eastAsia="Arial" w:cs="Arial"/>
      <w:sz w:val="20"/>
      <w:szCs w:val="2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2891</Words>
  <Characters>2995</Characters>
  <TotalTime>0</TotalTime>
  <ScaleCrop>false</ScaleCrop>
  <LinksUpToDate>false</LinksUpToDate>
  <CharactersWithSpaces>3069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2023-07-28T11:27:00Z</dcterms:created>
  <dc:creator>user</dc:creator>
  <cp:lastModifiedBy>聿央</cp:lastModifiedBy>
  <dcterms:modified xsi:type="dcterms:W3CDTF">2025-10-13T01:51:24Z</dcterms:modified>
  <dc:title>上能电气股份有限公司社会责任报告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2024-01-18T16:54:36Z</vt:filetime>
  </property>
  <property fmtid="{D5CDD505-2E9C-101B-9397-08002B2CF9AE}" pid="4" name="KSOProductBuildVer">
    <vt:lpwstr>2052-12.1.0.23125</vt:lpwstr>
  </property>
  <property fmtid="{D5CDD505-2E9C-101B-9397-08002B2CF9AE}" pid="5" name="ICV">
    <vt:lpwstr>EDB2301B30854D1FBA0801B4B10823BE_13</vt:lpwstr>
  </property>
  <property fmtid="{D5CDD505-2E9C-101B-9397-08002B2CF9AE}" pid="6" name="KSOTemplateDocerSaveRecord">
    <vt:lpwstr>eyJoZGlkIjoiZGE1MTA0NzI0YjA4ZDAwMTc2YzJiNDAyYjU0MDk2MzkiLCJ1c2VySWQiOiI0MzQ1Mjc5MzYifQ==</vt:lpwstr>
  </property>
</Properties>
</file>